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32683" w14:textId="0E2113AF" w:rsidR="0008128A" w:rsidRDefault="009E0703" w:rsidP="009E0703">
      <w:pPr>
        <w:spacing w:after="240"/>
        <w:jc w:val="center"/>
        <w:rPr>
          <w:b/>
          <w:bCs/>
          <w:sz w:val="28"/>
          <w:szCs w:val="28"/>
        </w:rPr>
      </w:pPr>
      <w:r>
        <w:rPr>
          <w:b/>
          <w:bCs/>
          <w:sz w:val="28"/>
          <w:szCs w:val="28"/>
        </w:rPr>
        <w:t>Ensuring b</w:t>
      </w:r>
      <w:r w:rsidR="00812C4F">
        <w:rPr>
          <w:b/>
          <w:bCs/>
          <w:sz w:val="28"/>
          <w:szCs w:val="28"/>
        </w:rPr>
        <w:t xml:space="preserve">usiness </w:t>
      </w:r>
      <w:r>
        <w:rPr>
          <w:b/>
          <w:bCs/>
          <w:sz w:val="28"/>
          <w:szCs w:val="28"/>
        </w:rPr>
        <w:t>c</w:t>
      </w:r>
      <w:r w:rsidR="00812C4F">
        <w:rPr>
          <w:b/>
          <w:bCs/>
          <w:sz w:val="28"/>
          <w:szCs w:val="28"/>
        </w:rPr>
        <w:t xml:space="preserve">ontinuity in the face of </w:t>
      </w:r>
      <w:r>
        <w:rPr>
          <w:b/>
          <w:bCs/>
          <w:sz w:val="28"/>
          <w:szCs w:val="28"/>
        </w:rPr>
        <w:t>t</w:t>
      </w:r>
      <w:r w:rsidR="00812C4F">
        <w:rPr>
          <w:b/>
          <w:bCs/>
          <w:sz w:val="28"/>
          <w:szCs w:val="28"/>
        </w:rPr>
        <w:t xml:space="preserve">rade </w:t>
      </w:r>
      <w:r>
        <w:rPr>
          <w:b/>
          <w:bCs/>
          <w:sz w:val="28"/>
          <w:szCs w:val="28"/>
        </w:rPr>
        <w:t>d</w:t>
      </w:r>
      <w:r w:rsidR="00812C4F">
        <w:rPr>
          <w:b/>
          <w:bCs/>
          <w:sz w:val="28"/>
          <w:szCs w:val="28"/>
        </w:rPr>
        <w:t>isruptions</w:t>
      </w:r>
    </w:p>
    <w:p w14:paraId="32EB0437" w14:textId="1A802DAE" w:rsidR="00AB261A" w:rsidRPr="002177EF" w:rsidRDefault="00E136B5" w:rsidP="002177EF">
      <w:pPr>
        <w:rPr>
          <w:b/>
          <w:bCs/>
          <w:sz w:val="22"/>
          <w:szCs w:val="22"/>
        </w:rPr>
      </w:pPr>
      <w:r w:rsidRPr="002177EF">
        <w:rPr>
          <w:b/>
          <w:bCs/>
          <w:sz w:val="22"/>
          <w:szCs w:val="22"/>
        </w:rPr>
        <w:t>Background</w:t>
      </w:r>
      <w:r w:rsidR="00BC5446">
        <w:rPr>
          <w:b/>
          <w:bCs/>
          <w:sz w:val="22"/>
          <w:szCs w:val="22"/>
        </w:rPr>
        <w:t xml:space="preserve"> </w:t>
      </w:r>
    </w:p>
    <w:p w14:paraId="3FAC12EC" w14:textId="2CB900A2" w:rsidR="007A699A" w:rsidRDefault="003C24A9" w:rsidP="003C24A9">
      <w:pPr>
        <w:rPr>
          <w:sz w:val="22"/>
          <w:szCs w:val="22"/>
        </w:rPr>
      </w:pPr>
      <w:r w:rsidRPr="009E0703">
        <w:rPr>
          <w:sz w:val="22"/>
          <w:szCs w:val="22"/>
        </w:rPr>
        <w:t xml:space="preserve">The COVID-19 pandemic has </w:t>
      </w:r>
      <w:r w:rsidR="00077843">
        <w:rPr>
          <w:sz w:val="22"/>
          <w:szCs w:val="22"/>
        </w:rPr>
        <w:t>demonstrated</w:t>
      </w:r>
      <w:r w:rsidR="00077843" w:rsidRPr="009E0703">
        <w:rPr>
          <w:sz w:val="22"/>
          <w:szCs w:val="22"/>
        </w:rPr>
        <w:t xml:space="preserve"> </w:t>
      </w:r>
      <w:r w:rsidR="007F04F8">
        <w:rPr>
          <w:sz w:val="22"/>
          <w:szCs w:val="22"/>
        </w:rPr>
        <w:t>the interconnection of</w:t>
      </w:r>
      <w:r w:rsidRPr="009E0703">
        <w:rPr>
          <w:sz w:val="22"/>
          <w:szCs w:val="22"/>
        </w:rPr>
        <w:t xml:space="preserve"> </w:t>
      </w:r>
      <w:r w:rsidR="00077843">
        <w:rPr>
          <w:sz w:val="22"/>
          <w:szCs w:val="22"/>
        </w:rPr>
        <w:t xml:space="preserve">modern </w:t>
      </w:r>
      <w:r w:rsidRPr="009E0703">
        <w:rPr>
          <w:sz w:val="22"/>
          <w:szCs w:val="22"/>
        </w:rPr>
        <w:t xml:space="preserve">economies </w:t>
      </w:r>
      <w:r w:rsidR="00077843">
        <w:rPr>
          <w:sz w:val="22"/>
          <w:szCs w:val="22"/>
        </w:rPr>
        <w:t xml:space="preserve">and the importance of </w:t>
      </w:r>
      <w:r w:rsidR="00DA1B3A">
        <w:rPr>
          <w:sz w:val="22"/>
          <w:szCs w:val="22"/>
        </w:rPr>
        <w:t>having customs certainty and efficiency</w:t>
      </w:r>
      <w:r w:rsidR="00077843">
        <w:rPr>
          <w:sz w:val="22"/>
          <w:szCs w:val="22"/>
        </w:rPr>
        <w:t xml:space="preserve"> </w:t>
      </w:r>
      <w:r w:rsidR="00FB5AE9" w:rsidRPr="00894EF3">
        <w:rPr>
          <w:color w:val="auto"/>
          <w:sz w:val="22"/>
          <w:szCs w:val="22"/>
        </w:rPr>
        <w:t>and flexible business</w:t>
      </w:r>
      <w:r w:rsidR="00077843">
        <w:rPr>
          <w:sz w:val="22"/>
          <w:szCs w:val="22"/>
        </w:rPr>
        <w:t xml:space="preserve"> processes to</w:t>
      </w:r>
      <w:r w:rsidRPr="009E0703">
        <w:rPr>
          <w:sz w:val="22"/>
          <w:szCs w:val="22"/>
        </w:rPr>
        <w:t xml:space="preserve"> global supply chains. </w:t>
      </w:r>
      <w:r w:rsidR="00077843">
        <w:rPr>
          <w:sz w:val="22"/>
          <w:szCs w:val="22"/>
        </w:rPr>
        <w:t xml:space="preserve">Over the last three years, </w:t>
      </w:r>
      <w:r w:rsidR="00077843" w:rsidRPr="00077843">
        <w:rPr>
          <w:sz w:val="22"/>
          <w:szCs w:val="22"/>
        </w:rPr>
        <w:t xml:space="preserve">supply chains </w:t>
      </w:r>
      <w:r w:rsidR="00077843">
        <w:rPr>
          <w:sz w:val="22"/>
          <w:szCs w:val="22"/>
        </w:rPr>
        <w:t xml:space="preserve">have been impacted by </w:t>
      </w:r>
      <w:r w:rsidR="00077843" w:rsidRPr="00077843">
        <w:rPr>
          <w:sz w:val="22"/>
          <w:szCs w:val="22"/>
        </w:rPr>
        <w:t>the pandemic, port congestion, demand-side shocks, and cyber-attacks</w:t>
      </w:r>
      <w:r w:rsidR="00077843">
        <w:rPr>
          <w:sz w:val="22"/>
          <w:szCs w:val="22"/>
        </w:rPr>
        <w:t xml:space="preserve">. </w:t>
      </w:r>
    </w:p>
    <w:p w14:paraId="72F72C8F" w14:textId="6996C6D2" w:rsidR="009A3932" w:rsidRDefault="00077843" w:rsidP="003C24A9">
      <w:pPr>
        <w:rPr>
          <w:sz w:val="22"/>
          <w:szCs w:val="22"/>
        </w:rPr>
      </w:pPr>
      <w:r>
        <w:rPr>
          <w:sz w:val="22"/>
          <w:szCs w:val="22"/>
        </w:rPr>
        <w:t xml:space="preserve">These challenges highlight the need </w:t>
      </w:r>
      <w:r w:rsidR="009A3932">
        <w:rPr>
          <w:sz w:val="22"/>
          <w:szCs w:val="22"/>
        </w:rPr>
        <w:t xml:space="preserve">for businesses </w:t>
      </w:r>
      <w:r>
        <w:rPr>
          <w:sz w:val="22"/>
          <w:szCs w:val="22"/>
        </w:rPr>
        <w:t xml:space="preserve">to proactively take steps to mitigate risks of </w:t>
      </w:r>
      <w:r w:rsidR="009A3932">
        <w:rPr>
          <w:sz w:val="22"/>
          <w:szCs w:val="22"/>
        </w:rPr>
        <w:t xml:space="preserve">possible </w:t>
      </w:r>
      <w:r>
        <w:rPr>
          <w:sz w:val="22"/>
          <w:szCs w:val="22"/>
        </w:rPr>
        <w:t>disruption</w:t>
      </w:r>
      <w:r w:rsidR="003C0BAA">
        <w:rPr>
          <w:sz w:val="22"/>
          <w:szCs w:val="22"/>
        </w:rPr>
        <w:t xml:space="preserve">s. </w:t>
      </w:r>
      <w:r w:rsidR="007F04F8">
        <w:rPr>
          <w:sz w:val="22"/>
          <w:szCs w:val="22"/>
        </w:rPr>
        <w:t>These steps could include creating contingencies to</w:t>
      </w:r>
      <w:r w:rsidR="003C0BAA">
        <w:rPr>
          <w:sz w:val="22"/>
          <w:szCs w:val="22"/>
        </w:rPr>
        <w:t xml:space="preserve"> enable firms to, for example,</w:t>
      </w:r>
      <w:r w:rsidR="009A3932">
        <w:rPr>
          <w:sz w:val="22"/>
          <w:szCs w:val="22"/>
        </w:rPr>
        <w:t xml:space="preserve"> serve their customers and remain competitive</w:t>
      </w:r>
      <w:r w:rsidR="007F04F8">
        <w:rPr>
          <w:sz w:val="22"/>
          <w:szCs w:val="22"/>
        </w:rPr>
        <w:t xml:space="preserve"> in the case of supply chain shocks</w:t>
      </w:r>
      <w:r w:rsidR="009A3932">
        <w:rPr>
          <w:sz w:val="22"/>
          <w:szCs w:val="22"/>
        </w:rPr>
        <w:t xml:space="preserve">. The need to respond to multiple cascading supply chain challenges supports the </w:t>
      </w:r>
      <w:r w:rsidR="007F04F8">
        <w:rPr>
          <w:sz w:val="22"/>
          <w:szCs w:val="22"/>
        </w:rPr>
        <w:t>necessity</w:t>
      </w:r>
      <w:r w:rsidR="009A3932">
        <w:rPr>
          <w:sz w:val="22"/>
          <w:szCs w:val="22"/>
        </w:rPr>
        <w:t xml:space="preserve"> </w:t>
      </w:r>
      <w:r w:rsidR="007F04F8">
        <w:rPr>
          <w:sz w:val="22"/>
          <w:szCs w:val="22"/>
        </w:rPr>
        <w:t>of maintaining</w:t>
      </w:r>
      <w:r w:rsidR="009A3932">
        <w:rPr>
          <w:sz w:val="22"/>
          <w:szCs w:val="22"/>
        </w:rPr>
        <w:t xml:space="preserve"> operational resiliency </w:t>
      </w:r>
      <w:r w:rsidR="003C0BAA">
        <w:rPr>
          <w:sz w:val="22"/>
          <w:szCs w:val="22"/>
        </w:rPr>
        <w:t>through</w:t>
      </w:r>
      <w:r w:rsidR="009A3932">
        <w:rPr>
          <w:sz w:val="22"/>
          <w:szCs w:val="22"/>
        </w:rPr>
        <w:t xml:space="preserve"> continuous</w:t>
      </w:r>
      <w:r w:rsidR="003C0BAA">
        <w:rPr>
          <w:sz w:val="22"/>
          <w:szCs w:val="22"/>
        </w:rPr>
        <w:t xml:space="preserve"> process improvements. By</w:t>
      </w:r>
      <w:r w:rsidR="009A3932">
        <w:rPr>
          <w:sz w:val="22"/>
          <w:szCs w:val="22"/>
        </w:rPr>
        <w:t xml:space="preserve"> investing in a strong foundation of processes, systems, and people business can prepar</w:t>
      </w:r>
      <w:r w:rsidR="007F04F8">
        <w:rPr>
          <w:sz w:val="22"/>
          <w:szCs w:val="22"/>
        </w:rPr>
        <w:t>e</w:t>
      </w:r>
      <w:r w:rsidR="009A3932">
        <w:rPr>
          <w:sz w:val="22"/>
          <w:szCs w:val="22"/>
        </w:rPr>
        <w:t xml:space="preserve"> to face future trade disruptions. </w:t>
      </w:r>
    </w:p>
    <w:p w14:paraId="03D9F56E" w14:textId="2933E119" w:rsidR="00BC5446" w:rsidRDefault="009A3932" w:rsidP="009E5EEB">
      <w:pPr>
        <w:rPr>
          <w:sz w:val="22"/>
          <w:szCs w:val="22"/>
        </w:rPr>
      </w:pPr>
      <w:r w:rsidRPr="009A3932">
        <w:rPr>
          <w:sz w:val="22"/>
          <w:szCs w:val="22"/>
        </w:rPr>
        <w:t>Following the PSCG paper on “Business Resumption: Lessons Learned During the COVID-19 Pandemic – Best Practices for Customs”, the group was asked to develop a follow-up paper that further</w:t>
      </w:r>
      <w:r w:rsidR="003C0BAA">
        <w:rPr>
          <w:sz w:val="22"/>
          <w:szCs w:val="22"/>
        </w:rPr>
        <w:t xml:space="preserve"> elaborates on the </w:t>
      </w:r>
      <w:r w:rsidRPr="009A3932">
        <w:rPr>
          <w:sz w:val="22"/>
          <w:szCs w:val="22"/>
        </w:rPr>
        <w:t>measures that increase resilience and help ensure business continuity in light of trade disruptions</w:t>
      </w:r>
      <w:r w:rsidR="00897324">
        <w:rPr>
          <w:sz w:val="22"/>
          <w:szCs w:val="22"/>
        </w:rPr>
        <w:t xml:space="preserve"> – and</w:t>
      </w:r>
      <w:r w:rsidR="00511C3D">
        <w:rPr>
          <w:sz w:val="22"/>
          <w:szCs w:val="22"/>
        </w:rPr>
        <w:t xml:space="preserve"> how Customs authorities can contribute to increased resilience</w:t>
      </w:r>
      <w:r w:rsidRPr="009A3932">
        <w:rPr>
          <w:sz w:val="22"/>
          <w:szCs w:val="22"/>
        </w:rPr>
        <w:t>.</w:t>
      </w:r>
      <w:r>
        <w:rPr>
          <w:sz w:val="22"/>
          <w:szCs w:val="22"/>
        </w:rPr>
        <w:t xml:space="preserve"> These practices include: </w:t>
      </w:r>
    </w:p>
    <w:p w14:paraId="502D6B4A" w14:textId="561EF125" w:rsidR="001A4D92" w:rsidRPr="00651311" w:rsidRDefault="00651311" w:rsidP="008C4432">
      <w:pPr>
        <w:rPr>
          <w:b/>
          <w:bCs/>
          <w:sz w:val="22"/>
          <w:szCs w:val="22"/>
        </w:rPr>
      </w:pPr>
      <w:r>
        <w:rPr>
          <w:b/>
          <w:bCs/>
          <w:sz w:val="22"/>
          <w:szCs w:val="22"/>
        </w:rPr>
        <w:t>1</w:t>
      </w:r>
      <w:r w:rsidRPr="00651311">
        <w:rPr>
          <w:b/>
          <w:bCs/>
          <w:sz w:val="22"/>
          <w:szCs w:val="22"/>
        </w:rPr>
        <w:t xml:space="preserve">. Identifying </w:t>
      </w:r>
      <w:r w:rsidR="00586A0B">
        <w:rPr>
          <w:b/>
          <w:bCs/>
          <w:sz w:val="22"/>
          <w:szCs w:val="22"/>
        </w:rPr>
        <w:t>R</w:t>
      </w:r>
      <w:r w:rsidRPr="00651311">
        <w:rPr>
          <w:b/>
          <w:bCs/>
          <w:sz w:val="22"/>
          <w:szCs w:val="22"/>
        </w:rPr>
        <w:t xml:space="preserve">isks to </w:t>
      </w:r>
      <w:r w:rsidR="00586A0B">
        <w:rPr>
          <w:b/>
          <w:bCs/>
          <w:sz w:val="22"/>
          <w:szCs w:val="22"/>
        </w:rPr>
        <w:t>B</w:t>
      </w:r>
      <w:r w:rsidRPr="00651311">
        <w:rPr>
          <w:b/>
          <w:bCs/>
          <w:sz w:val="22"/>
          <w:szCs w:val="22"/>
        </w:rPr>
        <w:t xml:space="preserve">usiness </w:t>
      </w:r>
      <w:r w:rsidR="00586A0B">
        <w:rPr>
          <w:b/>
          <w:bCs/>
          <w:sz w:val="22"/>
          <w:szCs w:val="22"/>
        </w:rPr>
        <w:t>C</w:t>
      </w:r>
      <w:r w:rsidRPr="00651311">
        <w:rPr>
          <w:b/>
          <w:bCs/>
          <w:sz w:val="22"/>
          <w:szCs w:val="22"/>
        </w:rPr>
        <w:t>ontinuity</w:t>
      </w:r>
    </w:p>
    <w:p w14:paraId="66C22798" w14:textId="6BBDE416" w:rsidR="00651311" w:rsidRDefault="00F40422" w:rsidP="008C4432">
      <w:pPr>
        <w:rPr>
          <w:sz w:val="22"/>
          <w:szCs w:val="22"/>
        </w:rPr>
      </w:pPr>
      <w:r>
        <w:rPr>
          <w:sz w:val="22"/>
          <w:szCs w:val="22"/>
        </w:rPr>
        <w:t xml:space="preserve">The COVID-19 pandemic exposed </w:t>
      </w:r>
      <w:r w:rsidR="009A3932">
        <w:rPr>
          <w:sz w:val="22"/>
          <w:szCs w:val="22"/>
        </w:rPr>
        <w:t xml:space="preserve">a general </w:t>
      </w:r>
      <w:r>
        <w:rPr>
          <w:sz w:val="22"/>
          <w:szCs w:val="22"/>
        </w:rPr>
        <w:t>lack of preparedness</w:t>
      </w:r>
      <w:r w:rsidR="00D83989">
        <w:rPr>
          <w:sz w:val="22"/>
          <w:szCs w:val="22"/>
        </w:rPr>
        <w:t xml:space="preserve"> by businesses to predict and react to supply chain risks.  Given this lesson, </w:t>
      </w:r>
      <w:r w:rsidR="00E4783B">
        <w:rPr>
          <w:sz w:val="22"/>
          <w:szCs w:val="22"/>
        </w:rPr>
        <w:t>there is an opportunity</w:t>
      </w:r>
      <w:r w:rsidR="00D83989">
        <w:rPr>
          <w:sz w:val="22"/>
          <w:szCs w:val="22"/>
        </w:rPr>
        <w:t xml:space="preserve"> for businesses to identify and prepare for future risks</w:t>
      </w:r>
      <w:r w:rsidR="006639F3">
        <w:rPr>
          <w:sz w:val="22"/>
          <w:szCs w:val="22"/>
        </w:rPr>
        <w:t xml:space="preserve">. </w:t>
      </w:r>
    </w:p>
    <w:p w14:paraId="7404A251" w14:textId="6EE4073E" w:rsidR="005C57F8" w:rsidRDefault="005C57F8" w:rsidP="008C4432">
      <w:pPr>
        <w:rPr>
          <w:sz w:val="22"/>
          <w:szCs w:val="22"/>
        </w:rPr>
      </w:pPr>
      <w:r>
        <w:rPr>
          <w:sz w:val="22"/>
          <w:szCs w:val="22"/>
        </w:rPr>
        <w:t xml:space="preserve">What are some of those risks </w:t>
      </w:r>
      <w:r w:rsidR="00D83989">
        <w:rPr>
          <w:sz w:val="22"/>
          <w:szCs w:val="22"/>
        </w:rPr>
        <w:t xml:space="preserve">that could </w:t>
      </w:r>
      <w:r>
        <w:rPr>
          <w:sz w:val="22"/>
          <w:szCs w:val="22"/>
        </w:rPr>
        <w:t>disrupt business continuity</w:t>
      </w:r>
      <w:r w:rsidR="00D83989">
        <w:rPr>
          <w:sz w:val="22"/>
          <w:szCs w:val="22"/>
        </w:rPr>
        <w:t xml:space="preserve"> in the future</w:t>
      </w:r>
      <w:r>
        <w:rPr>
          <w:sz w:val="22"/>
          <w:szCs w:val="22"/>
        </w:rPr>
        <w:t>?</w:t>
      </w:r>
    </w:p>
    <w:p w14:paraId="37DCDECB" w14:textId="4328DFA3" w:rsidR="00C250BE" w:rsidRDefault="00C250BE" w:rsidP="008C4432">
      <w:pPr>
        <w:rPr>
          <w:sz w:val="22"/>
          <w:szCs w:val="22"/>
        </w:rPr>
      </w:pPr>
      <w:r>
        <w:rPr>
          <w:sz w:val="22"/>
          <w:szCs w:val="22"/>
        </w:rPr>
        <w:t xml:space="preserve">Examples </w:t>
      </w:r>
      <w:r w:rsidR="00D83989">
        <w:rPr>
          <w:sz w:val="22"/>
          <w:szCs w:val="22"/>
        </w:rPr>
        <w:t xml:space="preserve">of </w:t>
      </w:r>
      <w:r>
        <w:rPr>
          <w:sz w:val="22"/>
          <w:szCs w:val="22"/>
        </w:rPr>
        <w:t xml:space="preserve">external threats that </w:t>
      </w:r>
      <w:r w:rsidR="00D83989">
        <w:rPr>
          <w:sz w:val="22"/>
          <w:szCs w:val="22"/>
        </w:rPr>
        <w:t xml:space="preserve">could </w:t>
      </w:r>
      <w:r>
        <w:rPr>
          <w:sz w:val="22"/>
          <w:szCs w:val="22"/>
        </w:rPr>
        <w:t>drastically</w:t>
      </w:r>
      <w:r w:rsidR="0068057E">
        <w:rPr>
          <w:sz w:val="22"/>
          <w:szCs w:val="22"/>
        </w:rPr>
        <w:t xml:space="preserve"> limit a </w:t>
      </w:r>
      <w:r w:rsidR="00D83989">
        <w:rPr>
          <w:sz w:val="22"/>
          <w:szCs w:val="22"/>
        </w:rPr>
        <w:t>business’</w:t>
      </w:r>
      <w:r w:rsidR="003C0BAA">
        <w:rPr>
          <w:sz w:val="22"/>
          <w:szCs w:val="22"/>
        </w:rPr>
        <w:t xml:space="preserve"> and/or</w:t>
      </w:r>
      <w:r w:rsidR="00D83989">
        <w:rPr>
          <w:sz w:val="22"/>
          <w:szCs w:val="22"/>
        </w:rPr>
        <w:t xml:space="preserve"> </w:t>
      </w:r>
      <w:r w:rsidR="002A1251">
        <w:rPr>
          <w:sz w:val="22"/>
          <w:szCs w:val="22"/>
        </w:rPr>
        <w:t>C</w:t>
      </w:r>
      <w:r w:rsidR="0068057E">
        <w:rPr>
          <w:sz w:val="22"/>
          <w:szCs w:val="22"/>
        </w:rPr>
        <w:t>ustoms</w:t>
      </w:r>
      <w:r w:rsidR="00D83989">
        <w:rPr>
          <w:sz w:val="22"/>
          <w:szCs w:val="22"/>
        </w:rPr>
        <w:t>’</w:t>
      </w:r>
      <w:r w:rsidR="0068057E">
        <w:rPr>
          <w:sz w:val="22"/>
          <w:szCs w:val="22"/>
        </w:rPr>
        <w:t xml:space="preserve"> </w:t>
      </w:r>
      <w:r w:rsidR="00D83989">
        <w:rPr>
          <w:sz w:val="22"/>
          <w:szCs w:val="22"/>
        </w:rPr>
        <w:t>operations</w:t>
      </w:r>
      <w:r w:rsidR="003C0BAA">
        <w:rPr>
          <w:sz w:val="22"/>
          <w:szCs w:val="22"/>
        </w:rPr>
        <w:t xml:space="preserve"> include</w:t>
      </w:r>
      <w:r w:rsidR="0068057E">
        <w:rPr>
          <w:sz w:val="22"/>
          <w:szCs w:val="22"/>
        </w:rPr>
        <w:t>:</w:t>
      </w:r>
    </w:p>
    <w:p w14:paraId="4E662EDA" w14:textId="6F5B09D5" w:rsidR="0068057E" w:rsidRDefault="0068057E" w:rsidP="0068057E">
      <w:pPr>
        <w:pStyle w:val="ListParagraph"/>
        <w:numPr>
          <w:ilvl w:val="0"/>
          <w:numId w:val="17"/>
        </w:numPr>
        <w:ind w:left="709" w:hanging="349"/>
        <w:rPr>
          <w:sz w:val="22"/>
          <w:szCs w:val="22"/>
        </w:rPr>
      </w:pPr>
      <w:r>
        <w:rPr>
          <w:sz w:val="22"/>
          <w:szCs w:val="22"/>
        </w:rPr>
        <w:t>Cyber attacks</w:t>
      </w:r>
    </w:p>
    <w:p w14:paraId="7FC63DD6" w14:textId="47FDDB44" w:rsidR="0068057E" w:rsidRDefault="0068057E" w:rsidP="0068057E">
      <w:pPr>
        <w:pStyle w:val="ListParagraph"/>
        <w:numPr>
          <w:ilvl w:val="0"/>
          <w:numId w:val="17"/>
        </w:numPr>
        <w:ind w:left="709" w:hanging="349"/>
        <w:rPr>
          <w:sz w:val="22"/>
          <w:szCs w:val="22"/>
        </w:rPr>
      </w:pPr>
      <w:r>
        <w:rPr>
          <w:sz w:val="22"/>
          <w:szCs w:val="22"/>
        </w:rPr>
        <w:t>Natural disasters</w:t>
      </w:r>
    </w:p>
    <w:p w14:paraId="22B65594" w14:textId="11A1ABC5" w:rsidR="0068057E" w:rsidRDefault="006C7498" w:rsidP="0068057E">
      <w:pPr>
        <w:pStyle w:val="ListParagraph"/>
        <w:numPr>
          <w:ilvl w:val="0"/>
          <w:numId w:val="17"/>
        </w:numPr>
        <w:ind w:left="709" w:hanging="349"/>
        <w:rPr>
          <w:sz w:val="22"/>
          <w:szCs w:val="22"/>
        </w:rPr>
      </w:pPr>
      <w:r>
        <w:rPr>
          <w:sz w:val="22"/>
          <w:szCs w:val="22"/>
        </w:rPr>
        <w:t>New p</w:t>
      </w:r>
      <w:r w:rsidR="0068057E">
        <w:rPr>
          <w:sz w:val="22"/>
          <w:szCs w:val="22"/>
        </w:rPr>
        <w:t>andemic</w:t>
      </w:r>
      <w:r>
        <w:rPr>
          <w:sz w:val="22"/>
          <w:szCs w:val="22"/>
        </w:rPr>
        <w:t>s</w:t>
      </w:r>
    </w:p>
    <w:p w14:paraId="57A79B6B" w14:textId="6BC3FD15" w:rsidR="0068057E" w:rsidRDefault="009A5D49" w:rsidP="0068057E">
      <w:pPr>
        <w:pStyle w:val="ListParagraph"/>
        <w:numPr>
          <w:ilvl w:val="0"/>
          <w:numId w:val="17"/>
        </w:numPr>
        <w:ind w:left="709" w:hanging="349"/>
        <w:rPr>
          <w:sz w:val="22"/>
          <w:szCs w:val="22"/>
        </w:rPr>
      </w:pPr>
      <w:r>
        <w:rPr>
          <w:sz w:val="22"/>
          <w:szCs w:val="22"/>
        </w:rPr>
        <w:t>Infrastructure challenges</w:t>
      </w:r>
    </w:p>
    <w:p w14:paraId="65F6A159" w14:textId="0E845C71" w:rsidR="009A5D49" w:rsidRDefault="009A5D49" w:rsidP="0068057E">
      <w:pPr>
        <w:pStyle w:val="ListParagraph"/>
        <w:numPr>
          <w:ilvl w:val="0"/>
          <w:numId w:val="17"/>
        </w:numPr>
        <w:ind w:left="709" w:hanging="349"/>
        <w:rPr>
          <w:sz w:val="22"/>
          <w:szCs w:val="22"/>
        </w:rPr>
      </w:pPr>
      <w:r>
        <w:rPr>
          <w:sz w:val="22"/>
          <w:szCs w:val="22"/>
        </w:rPr>
        <w:t>Strike</w:t>
      </w:r>
      <w:r w:rsidR="006C7498">
        <w:rPr>
          <w:sz w:val="22"/>
          <w:szCs w:val="22"/>
        </w:rPr>
        <w:t>s</w:t>
      </w:r>
      <w:r>
        <w:rPr>
          <w:sz w:val="22"/>
          <w:szCs w:val="22"/>
        </w:rPr>
        <w:t xml:space="preserve"> (e.g., </w:t>
      </w:r>
      <w:r w:rsidR="006C7498">
        <w:rPr>
          <w:sz w:val="22"/>
          <w:szCs w:val="22"/>
        </w:rPr>
        <w:t xml:space="preserve">commercial and </w:t>
      </w:r>
      <w:r w:rsidR="00AF0514">
        <w:rPr>
          <w:sz w:val="22"/>
          <w:szCs w:val="22"/>
        </w:rPr>
        <w:t xml:space="preserve">public </w:t>
      </w:r>
      <w:r w:rsidR="00A96374">
        <w:rPr>
          <w:sz w:val="22"/>
          <w:szCs w:val="22"/>
        </w:rPr>
        <w:t>transportation</w:t>
      </w:r>
      <w:r w:rsidR="00AF0514">
        <w:rPr>
          <w:sz w:val="22"/>
          <w:szCs w:val="22"/>
        </w:rPr>
        <w:t xml:space="preserve">, oil </w:t>
      </w:r>
      <w:r w:rsidR="00496CE4">
        <w:rPr>
          <w:sz w:val="22"/>
          <w:szCs w:val="22"/>
        </w:rPr>
        <w:t>refineries</w:t>
      </w:r>
      <w:r w:rsidR="00AF0514">
        <w:rPr>
          <w:sz w:val="22"/>
          <w:szCs w:val="22"/>
        </w:rPr>
        <w:t>)</w:t>
      </w:r>
    </w:p>
    <w:p w14:paraId="06DB1D11" w14:textId="3024C8FD" w:rsidR="00FB5AE9" w:rsidRPr="00894EF3" w:rsidRDefault="00FB5AE9" w:rsidP="0068057E">
      <w:pPr>
        <w:pStyle w:val="ListParagraph"/>
        <w:numPr>
          <w:ilvl w:val="0"/>
          <w:numId w:val="17"/>
        </w:numPr>
        <w:ind w:left="709" w:hanging="349"/>
        <w:rPr>
          <w:color w:val="auto"/>
          <w:sz w:val="22"/>
          <w:szCs w:val="22"/>
        </w:rPr>
      </w:pPr>
      <w:r w:rsidRPr="00894EF3">
        <w:rPr>
          <w:color w:val="auto"/>
          <w:sz w:val="22"/>
          <w:szCs w:val="22"/>
        </w:rPr>
        <w:t>Conflict/war</w:t>
      </w:r>
    </w:p>
    <w:p w14:paraId="62B95F73" w14:textId="4BD8EB1F" w:rsidR="0080547A" w:rsidRDefault="001A427C" w:rsidP="0080547A">
      <w:pPr>
        <w:rPr>
          <w:sz w:val="22"/>
          <w:szCs w:val="22"/>
        </w:rPr>
      </w:pPr>
      <w:r>
        <w:rPr>
          <w:sz w:val="22"/>
          <w:szCs w:val="22"/>
        </w:rPr>
        <w:t xml:space="preserve">While many customs authorities have </w:t>
      </w:r>
      <w:r w:rsidR="00D83989">
        <w:rPr>
          <w:sz w:val="22"/>
          <w:szCs w:val="22"/>
        </w:rPr>
        <w:t xml:space="preserve">begun to prepare </w:t>
      </w:r>
      <w:r>
        <w:rPr>
          <w:sz w:val="22"/>
          <w:szCs w:val="22"/>
        </w:rPr>
        <w:t xml:space="preserve">for </w:t>
      </w:r>
      <w:r w:rsidR="009D4613">
        <w:rPr>
          <w:sz w:val="22"/>
          <w:szCs w:val="22"/>
        </w:rPr>
        <w:t xml:space="preserve">addressing </w:t>
      </w:r>
      <w:r w:rsidR="007F04F8">
        <w:rPr>
          <w:sz w:val="22"/>
          <w:szCs w:val="22"/>
        </w:rPr>
        <w:t xml:space="preserve">these </w:t>
      </w:r>
      <w:r w:rsidR="009D4613">
        <w:rPr>
          <w:sz w:val="22"/>
          <w:szCs w:val="22"/>
        </w:rPr>
        <w:t xml:space="preserve">future </w:t>
      </w:r>
      <w:r>
        <w:rPr>
          <w:sz w:val="22"/>
          <w:szCs w:val="22"/>
        </w:rPr>
        <w:t xml:space="preserve">threats, </w:t>
      </w:r>
      <w:r w:rsidR="00D83989">
        <w:rPr>
          <w:sz w:val="22"/>
          <w:szCs w:val="22"/>
        </w:rPr>
        <w:t>business must also</w:t>
      </w:r>
      <w:r w:rsidR="009D4613">
        <w:rPr>
          <w:sz w:val="22"/>
          <w:szCs w:val="22"/>
        </w:rPr>
        <w:t xml:space="preserve"> plan and invest, particularly </w:t>
      </w:r>
      <w:r w:rsidR="008A1B28">
        <w:rPr>
          <w:sz w:val="22"/>
          <w:szCs w:val="22"/>
        </w:rPr>
        <w:t xml:space="preserve">providers of </w:t>
      </w:r>
      <w:r w:rsidR="006D71B9">
        <w:rPr>
          <w:sz w:val="22"/>
          <w:szCs w:val="22"/>
        </w:rPr>
        <w:t>vital</w:t>
      </w:r>
      <w:r w:rsidR="0080547A">
        <w:rPr>
          <w:sz w:val="22"/>
          <w:szCs w:val="22"/>
        </w:rPr>
        <w:t xml:space="preserve"> </w:t>
      </w:r>
      <w:r w:rsidR="009D4613">
        <w:rPr>
          <w:sz w:val="22"/>
          <w:szCs w:val="22"/>
        </w:rPr>
        <w:t>goods and services</w:t>
      </w:r>
      <w:r w:rsidR="003C0BAA">
        <w:rPr>
          <w:sz w:val="22"/>
          <w:szCs w:val="22"/>
        </w:rPr>
        <w:t xml:space="preserve"> (e.g., IT services, logistics)</w:t>
      </w:r>
      <w:r w:rsidR="008A1B28">
        <w:rPr>
          <w:sz w:val="22"/>
          <w:szCs w:val="22"/>
        </w:rPr>
        <w:t xml:space="preserve">, to operate during </w:t>
      </w:r>
      <w:r w:rsidR="007F04F8">
        <w:rPr>
          <w:sz w:val="22"/>
          <w:szCs w:val="22"/>
        </w:rPr>
        <w:t>a</w:t>
      </w:r>
      <w:r w:rsidR="008A1B28">
        <w:rPr>
          <w:sz w:val="22"/>
          <w:szCs w:val="22"/>
        </w:rPr>
        <w:t xml:space="preserve"> crisis and </w:t>
      </w:r>
      <w:r w:rsidR="0080547A">
        <w:rPr>
          <w:sz w:val="22"/>
          <w:szCs w:val="22"/>
        </w:rPr>
        <w:t>to</w:t>
      </w:r>
      <w:r w:rsidR="008A1B28">
        <w:rPr>
          <w:sz w:val="22"/>
          <w:szCs w:val="22"/>
        </w:rPr>
        <w:t xml:space="preserve"> support post-crisis recovery. </w:t>
      </w:r>
      <w:r w:rsidR="0080547A">
        <w:rPr>
          <w:sz w:val="22"/>
          <w:szCs w:val="22"/>
        </w:rPr>
        <w:t xml:space="preserve"> </w:t>
      </w:r>
      <w:r w:rsidR="009D4613">
        <w:rPr>
          <w:sz w:val="22"/>
          <w:szCs w:val="22"/>
        </w:rPr>
        <w:t xml:space="preserve"> </w:t>
      </w:r>
    </w:p>
    <w:p w14:paraId="65BDF519" w14:textId="67B8F2B6" w:rsidR="00AF0514" w:rsidRPr="0081614F" w:rsidRDefault="00AB67D8" w:rsidP="00AF0514">
      <w:pPr>
        <w:rPr>
          <w:color w:val="auto"/>
          <w:sz w:val="22"/>
          <w:szCs w:val="22"/>
        </w:rPr>
      </w:pPr>
      <w:r>
        <w:rPr>
          <w:sz w:val="22"/>
          <w:szCs w:val="22"/>
        </w:rPr>
        <w:t xml:space="preserve">For example, a company could </w:t>
      </w:r>
      <w:r w:rsidR="00C6694A">
        <w:rPr>
          <w:sz w:val="22"/>
          <w:szCs w:val="22"/>
        </w:rPr>
        <w:t xml:space="preserve">be going through a cyber attack and their </w:t>
      </w:r>
      <w:r>
        <w:rPr>
          <w:sz w:val="22"/>
          <w:szCs w:val="22"/>
        </w:rPr>
        <w:t xml:space="preserve">globally automated </w:t>
      </w:r>
      <w:r w:rsidR="003C0BAA">
        <w:rPr>
          <w:sz w:val="22"/>
          <w:szCs w:val="22"/>
        </w:rPr>
        <w:t xml:space="preserve">IT </w:t>
      </w:r>
      <w:r>
        <w:rPr>
          <w:sz w:val="22"/>
          <w:szCs w:val="22"/>
        </w:rPr>
        <w:t xml:space="preserve">system </w:t>
      </w:r>
      <w:r w:rsidR="003404E0">
        <w:rPr>
          <w:sz w:val="22"/>
          <w:szCs w:val="22"/>
        </w:rPr>
        <w:t xml:space="preserve">is </w:t>
      </w:r>
      <w:r w:rsidR="007F04F8">
        <w:rPr>
          <w:sz w:val="22"/>
          <w:szCs w:val="22"/>
        </w:rPr>
        <w:t xml:space="preserve">taken </w:t>
      </w:r>
      <w:r w:rsidR="00C6694A">
        <w:rPr>
          <w:sz w:val="22"/>
          <w:szCs w:val="22"/>
        </w:rPr>
        <w:t>out of service</w:t>
      </w:r>
      <w:r w:rsidR="003461A6">
        <w:rPr>
          <w:sz w:val="22"/>
          <w:szCs w:val="22"/>
        </w:rPr>
        <w:t xml:space="preserve">. In such instances, what support can be provided by </w:t>
      </w:r>
      <w:r w:rsidR="002C729C">
        <w:rPr>
          <w:sz w:val="22"/>
          <w:szCs w:val="22"/>
        </w:rPr>
        <w:t>C</w:t>
      </w:r>
      <w:r w:rsidR="003461A6">
        <w:rPr>
          <w:sz w:val="22"/>
          <w:szCs w:val="22"/>
        </w:rPr>
        <w:t xml:space="preserve">ustoms authorities? </w:t>
      </w:r>
      <w:r w:rsidR="004023EC">
        <w:rPr>
          <w:sz w:val="22"/>
          <w:szCs w:val="22"/>
        </w:rPr>
        <w:t xml:space="preserve">It is not always possible to </w:t>
      </w:r>
      <w:r w:rsidR="003461A6">
        <w:rPr>
          <w:sz w:val="22"/>
          <w:szCs w:val="22"/>
        </w:rPr>
        <w:t>revert to</w:t>
      </w:r>
      <w:r w:rsidR="004023EC">
        <w:rPr>
          <w:sz w:val="22"/>
          <w:szCs w:val="22"/>
        </w:rPr>
        <w:t xml:space="preserve"> manual processes</w:t>
      </w:r>
      <w:r w:rsidR="003461A6">
        <w:rPr>
          <w:sz w:val="22"/>
          <w:szCs w:val="22"/>
        </w:rPr>
        <w:t xml:space="preserve">. As a result, in this example, </w:t>
      </w:r>
      <w:r w:rsidR="004023EC">
        <w:rPr>
          <w:sz w:val="22"/>
          <w:szCs w:val="22"/>
        </w:rPr>
        <w:t xml:space="preserve">how could the goods </w:t>
      </w:r>
      <w:r w:rsidR="003461A6">
        <w:rPr>
          <w:sz w:val="22"/>
          <w:szCs w:val="22"/>
        </w:rPr>
        <w:t>pending customs</w:t>
      </w:r>
      <w:r w:rsidR="004023EC">
        <w:rPr>
          <w:sz w:val="22"/>
          <w:szCs w:val="22"/>
        </w:rPr>
        <w:t xml:space="preserve"> </w:t>
      </w:r>
      <w:r w:rsidR="00C61FF3">
        <w:rPr>
          <w:sz w:val="22"/>
          <w:szCs w:val="22"/>
        </w:rPr>
        <w:t xml:space="preserve">clearance </w:t>
      </w:r>
      <w:r w:rsidR="003404E0">
        <w:rPr>
          <w:sz w:val="22"/>
          <w:szCs w:val="22"/>
        </w:rPr>
        <w:t xml:space="preserve">be </w:t>
      </w:r>
      <w:r w:rsidR="00C61FF3">
        <w:rPr>
          <w:sz w:val="22"/>
          <w:szCs w:val="22"/>
        </w:rPr>
        <w:t>handled</w:t>
      </w:r>
      <w:r w:rsidR="003461A6">
        <w:rPr>
          <w:sz w:val="22"/>
          <w:szCs w:val="22"/>
        </w:rPr>
        <w:t xml:space="preserve"> or </w:t>
      </w:r>
      <w:r w:rsidR="003404E0">
        <w:rPr>
          <w:sz w:val="22"/>
          <w:szCs w:val="22"/>
        </w:rPr>
        <w:t>cleared</w:t>
      </w:r>
      <w:r w:rsidR="00C61FF3">
        <w:rPr>
          <w:sz w:val="22"/>
          <w:szCs w:val="22"/>
        </w:rPr>
        <w:t xml:space="preserve"> in a way that does </w:t>
      </w:r>
      <w:r w:rsidR="007B5161">
        <w:rPr>
          <w:sz w:val="22"/>
          <w:szCs w:val="22"/>
        </w:rPr>
        <w:t xml:space="preserve">not </w:t>
      </w:r>
      <w:r w:rsidR="003461A6">
        <w:rPr>
          <w:sz w:val="22"/>
          <w:szCs w:val="22"/>
        </w:rPr>
        <w:t>further contribute</w:t>
      </w:r>
      <w:r w:rsidR="00C61FF3">
        <w:rPr>
          <w:sz w:val="22"/>
          <w:szCs w:val="22"/>
        </w:rPr>
        <w:t xml:space="preserve"> to the disruption</w:t>
      </w:r>
      <w:r w:rsidR="00FB5AE9">
        <w:rPr>
          <w:sz w:val="22"/>
          <w:szCs w:val="22"/>
        </w:rPr>
        <w:t xml:space="preserve"> </w:t>
      </w:r>
      <w:r w:rsidR="00FB5AE9" w:rsidRPr="0081614F">
        <w:rPr>
          <w:color w:val="auto"/>
          <w:sz w:val="22"/>
          <w:szCs w:val="22"/>
        </w:rPr>
        <w:t xml:space="preserve">or </w:t>
      </w:r>
      <w:r w:rsidR="00D343BC" w:rsidRPr="0081614F">
        <w:rPr>
          <w:color w:val="auto"/>
          <w:sz w:val="22"/>
          <w:szCs w:val="22"/>
        </w:rPr>
        <w:t>increase cost and</w:t>
      </w:r>
      <w:r w:rsidR="00FB5AE9" w:rsidRPr="0081614F">
        <w:rPr>
          <w:color w:val="auto"/>
          <w:sz w:val="22"/>
          <w:szCs w:val="22"/>
        </w:rPr>
        <w:t xml:space="preserve"> risk for the importing country</w:t>
      </w:r>
      <w:r w:rsidR="00481151" w:rsidRPr="0081614F">
        <w:rPr>
          <w:color w:val="auto"/>
          <w:sz w:val="22"/>
          <w:szCs w:val="22"/>
        </w:rPr>
        <w:t xml:space="preserve"> or the trade stakeholders</w:t>
      </w:r>
      <w:r w:rsidR="00C61FF3" w:rsidRPr="0081614F">
        <w:rPr>
          <w:color w:val="auto"/>
          <w:sz w:val="22"/>
          <w:szCs w:val="22"/>
        </w:rPr>
        <w:t>?</w:t>
      </w:r>
      <w:r w:rsidR="00FE41FD" w:rsidRPr="0081614F">
        <w:rPr>
          <w:color w:val="auto"/>
          <w:sz w:val="22"/>
          <w:szCs w:val="22"/>
        </w:rPr>
        <w:t xml:space="preserve"> </w:t>
      </w:r>
    </w:p>
    <w:p w14:paraId="3A00B6B5" w14:textId="7556A640" w:rsidR="00831F37" w:rsidRDefault="00831F37" w:rsidP="00AF0514">
      <w:pPr>
        <w:rPr>
          <w:sz w:val="22"/>
          <w:szCs w:val="22"/>
        </w:rPr>
      </w:pPr>
      <w:r>
        <w:rPr>
          <w:sz w:val="22"/>
          <w:szCs w:val="22"/>
        </w:rPr>
        <w:lastRenderedPageBreak/>
        <w:t xml:space="preserve">Today, supply chains are </w:t>
      </w:r>
      <w:r w:rsidR="00487664">
        <w:rPr>
          <w:sz w:val="22"/>
          <w:szCs w:val="22"/>
        </w:rPr>
        <w:t xml:space="preserve">dependent on the </w:t>
      </w:r>
      <w:r w:rsidR="003461A6">
        <w:rPr>
          <w:sz w:val="22"/>
          <w:szCs w:val="22"/>
        </w:rPr>
        <w:t xml:space="preserve">timely </w:t>
      </w:r>
      <w:r w:rsidR="00487664">
        <w:rPr>
          <w:sz w:val="22"/>
          <w:szCs w:val="22"/>
        </w:rPr>
        <w:t>flow of</w:t>
      </w:r>
      <w:r>
        <w:rPr>
          <w:sz w:val="22"/>
          <w:szCs w:val="22"/>
        </w:rPr>
        <w:t xml:space="preserve"> data and documentation</w:t>
      </w:r>
      <w:r w:rsidR="003461A6">
        <w:rPr>
          <w:sz w:val="22"/>
          <w:szCs w:val="22"/>
        </w:rPr>
        <w:t>,</w:t>
      </w:r>
      <w:r w:rsidR="004E133F">
        <w:rPr>
          <w:sz w:val="22"/>
          <w:szCs w:val="22"/>
        </w:rPr>
        <w:t xml:space="preserve"> and in times of crisis, </w:t>
      </w:r>
      <w:r w:rsidR="00487664">
        <w:rPr>
          <w:sz w:val="22"/>
          <w:szCs w:val="22"/>
        </w:rPr>
        <w:t xml:space="preserve">these </w:t>
      </w:r>
      <w:r w:rsidR="003461A6">
        <w:rPr>
          <w:sz w:val="22"/>
          <w:szCs w:val="22"/>
        </w:rPr>
        <w:t xml:space="preserve">flows </w:t>
      </w:r>
      <w:r w:rsidR="00487664">
        <w:rPr>
          <w:sz w:val="22"/>
          <w:szCs w:val="22"/>
        </w:rPr>
        <w:t>could be disrupted</w:t>
      </w:r>
      <w:r w:rsidR="003461A6">
        <w:rPr>
          <w:sz w:val="22"/>
          <w:szCs w:val="22"/>
        </w:rPr>
        <w:t>. As a result,</w:t>
      </w:r>
      <w:r w:rsidR="004E133F">
        <w:rPr>
          <w:sz w:val="22"/>
          <w:szCs w:val="22"/>
        </w:rPr>
        <w:t xml:space="preserve"> how </w:t>
      </w:r>
      <w:r w:rsidR="003461A6">
        <w:rPr>
          <w:sz w:val="22"/>
          <w:szCs w:val="22"/>
        </w:rPr>
        <w:t xml:space="preserve">could the </w:t>
      </w:r>
      <w:r w:rsidR="003B3E02">
        <w:rPr>
          <w:sz w:val="22"/>
          <w:szCs w:val="22"/>
        </w:rPr>
        <w:t xml:space="preserve">movement of goods </w:t>
      </w:r>
      <w:r w:rsidR="003461A6">
        <w:rPr>
          <w:sz w:val="22"/>
          <w:szCs w:val="22"/>
        </w:rPr>
        <w:t>be facilitated in such instances?</w:t>
      </w:r>
    </w:p>
    <w:p w14:paraId="7693B69E" w14:textId="0FC6285D" w:rsidR="0073371F" w:rsidRDefault="0073371F" w:rsidP="0073371F"/>
    <w:p w14:paraId="04638DFC" w14:textId="6F5BA71D" w:rsidR="00BC5446" w:rsidRPr="006C09EB" w:rsidRDefault="00D3411B" w:rsidP="008C4432">
      <w:pPr>
        <w:rPr>
          <w:b/>
          <w:bCs/>
          <w:sz w:val="22"/>
          <w:szCs w:val="22"/>
        </w:rPr>
      </w:pPr>
      <w:r>
        <w:rPr>
          <w:b/>
          <w:bCs/>
          <w:sz w:val="22"/>
          <w:szCs w:val="22"/>
        </w:rPr>
        <w:t xml:space="preserve">2. </w:t>
      </w:r>
      <w:r w:rsidR="001C5444" w:rsidRPr="006C09EB">
        <w:rPr>
          <w:b/>
          <w:bCs/>
          <w:sz w:val="22"/>
          <w:szCs w:val="22"/>
        </w:rPr>
        <w:t xml:space="preserve">Managing </w:t>
      </w:r>
      <w:r w:rsidR="0037539F">
        <w:rPr>
          <w:b/>
          <w:bCs/>
          <w:sz w:val="22"/>
          <w:szCs w:val="22"/>
        </w:rPr>
        <w:t>R</w:t>
      </w:r>
      <w:r w:rsidR="001C5444" w:rsidRPr="006C09EB">
        <w:rPr>
          <w:b/>
          <w:bCs/>
          <w:sz w:val="22"/>
          <w:szCs w:val="22"/>
        </w:rPr>
        <w:t>isk</w:t>
      </w:r>
      <w:r w:rsidR="0037539F">
        <w:rPr>
          <w:b/>
          <w:bCs/>
          <w:sz w:val="22"/>
          <w:szCs w:val="22"/>
        </w:rPr>
        <w:t xml:space="preserve"> E</w:t>
      </w:r>
      <w:r>
        <w:rPr>
          <w:b/>
          <w:bCs/>
          <w:sz w:val="22"/>
          <w:szCs w:val="22"/>
        </w:rPr>
        <w:t>ffectively</w:t>
      </w:r>
    </w:p>
    <w:p w14:paraId="2A981EE7" w14:textId="303EF4E2" w:rsidR="00164199" w:rsidRDefault="00164199" w:rsidP="00164199">
      <w:pPr>
        <w:rPr>
          <w:sz w:val="22"/>
          <w:szCs w:val="22"/>
        </w:rPr>
      </w:pPr>
      <w:r>
        <w:rPr>
          <w:sz w:val="22"/>
          <w:szCs w:val="22"/>
        </w:rPr>
        <w:t xml:space="preserve">For business, it is critical that customs authorities </w:t>
      </w:r>
      <w:r w:rsidR="00487664">
        <w:rPr>
          <w:sz w:val="22"/>
          <w:szCs w:val="22"/>
        </w:rPr>
        <w:t>provide</w:t>
      </w:r>
      <w:r>
        <w:rPr>
          <w:sz w:val="22"/>
          <w:szCs w:val="22"/>
        </w:rPr>
        <w:t xml:space="preserve"> as much consistency as possible </w:t>
      </w:r>
      <w:r w:rsidR="00F36ADB">
        <w:rPr>
          <w:sz w:val="22"/>
          <w:szCs w:val="22"/>
        </w:rPr>
        <w:t xml:space="preserve">during periods of service disruption.  </w:t>
      </w:r>
      <w:r>
        <w:rPr>
          <w:sz w:val="22"/>
          <w:szCs w:val="22"/>
        </w:rPr>
        <w:t xml:space="preserve"> </w:t>
      </w:r>
      <w:r w:rsidR="00F36ADB">
        <w:rPr>
          <w:sz w:val="22"/>
          <w:szCs w:val="22"/>
        </w:rPr>
        <w:t>When many standard processes and systems within the supply chain are unable</w:t>
      </w:r>
      <w:r>
        <w:rPr>
          <w:sz w:val="22"/>
          <w:szCs w:val="22"/>
        </w:rPr>
        <w:t xml:space="preserve"> to operate</w:t>
      </w:r>
      <w:r w:rsidR="00F36ADB">
        <w:rPr>
          <w:sz w:val="22"/>
          <w:szCs w:val="22"/>
        </w:rPr>
        <w:t xml:space="preserve"> during a </w:t>
      </w:r>
      <w:r w:rsidR="006D71B9">
        <w:rPr>
          <w:sz w:val="22"/>
          <w:szCs w:val="22"/>
        </w:rPr>
        <w:t>disruption, there</w:t>
      </w:r>
      <w:r w:rsidR="00F36ADB">
        <w:rPr>
          <w:sz w:val="22"/>
          <w:szCs w:val="22"/>
        </w:rPr>
        <w:t xml:space="preserve"> need to be emergency fallbacks procedures in place to maintain the flow of</w:t>
      </w:r>
      <w:r w:rsidR="006D71B9">
        <w:rPr>
          <w:sz w:val="22"/>
          <w:szCs w:val="22"/>
        </w:rPr>
        <w:t xml:space="preserve"> </w:t>
      </w:r>
      <w:r w:rsidR="00F36ADB">
        <w:rPr>
          <w:sz w:val="22"/>
          <w:szCs w:val="22"/>
        </w:rPr>
        <w:t>goods</w:t>
      </w:r>
      <w:r w:rsidR="006D71B9">
        <w:rPr>
          <w:sz w:val="22"/>
          <w:szCs w:val="22"/>
        </w:rPr>
        <w:t xml:space="preserve"> required during and after the cris</w:t>
      </w:r>
      <w:r w:rsidR="003C3422">
        <w:rPr>
          <w:sz w:val="22"/>
          <w:szCs w:val="22"/>
        </w:rPr>
        <w:t>is</w:t>
      </w:r>
      <w:r>
        <w:rPr>
          <w:sz w:val="22"/>
          <w:szCs w:val="22"/>
        </w:rPr>
        <w:t xml:space="preserve">. </w:t>
      </w:r>
    </w:p>
    <w:p w14:paraId="24B66659" w14:textId="38E2A92C" w:rsidR="008A2C02" w:rsidRDefault="00EA2156" w:rsidP="008C4432">
      <w:pPr>
        <w:rPr>
          <w:sz w:val="22"/>
          <w:szCs w:val="22"/>
        </w:rPr>
      </w:pPr>
      <w:r>
        <w:rPr>
          <w:sz w:val="22"/>
          <w:szCs w:val="22"/>
        </w:rPr>
        <w:t xml:space="preserve">For </w:t>
      </w:r>
      <w:r w:rsidR="00334A29">
        <w:rPr>
          <w:sz w:val="22"/>
          <w:szCs w:val="22"/>
        </w:rPr>
        <w:t>many years, t</w:t>
      </w:r>
      <w:r w:rsidR="00457C54">
        <w:rPr>
          <w:sz w:val="22"/>
          <w:szCs w:val="22"/>
        </w:rPr>
        <w:t xml:space="preserve">he PSCG </w:t>
      </w:r>
      <w:r>
        <w:rPr>
          <w:sz w:val="22"/>
          <w:szCs w:val="22"/>
        </w:rPr>
        <w:t>has advocat</w:t>
      </w:r>
      <w:r w:rsidR="003461A6">
        <w:rPr>
          <w:sz w:val="22"/>
          <w:szCs w:val="22"/>
        </w:rPr>
        <w:t>ed</w:t>
      </w:r>
      <w:r>
        <w:rPr>
          <w:sz w:val="22"/>
          <w:szCs w:val="22"/>
        </w:rPr>
        <w:t xml:space="preserve"> for an effective implementation of </w:t>
      </w:r>
      <w:r w:rsidR="00457C54">
        <w:rPr>
          <w:sz w:val="22"/>
          <w:szCs w:val="22"/>
        </w:rPr>
        <w:t>e</w:t>
      </w:r>
      <w:r w:rsidR="00164199">
        <w:rPr>
          <w:sz w:val="22"/>
          <w:szCs w:val="22"/>
        </w:rPr>
        <w:t>xisting tools and instruments</w:t>
      </w:r>
      <w:r w:rsidR="008E287E">
        <w:rPr>
          <w:sz w:val="22"/>
          <w:szCs w:val="22"/>
        </w:rPr>
        <w:t xml:space="preserve"> to facilitate trade</w:t>
      </w:r>
      <w:r w:rsidR="003461A6">
        <w:rPr>
          <w:sz w:val="22"/>
          <w:szCs w:val="22"/>
        </w:rPr>
        <w:t xml:space="preserve">; however, </w:t>
      </w:r>
      <w:r w:rsidR="003C3422">
        <w:rPr>
          <w:sz w:val="22"/>
          <w:szCs w:val="22"/>
        </w:rPr>
        <w:t>e</w:t>
      </w:r>
      <w:r w:rsidR="008A2C02">
        <w:rPr>
          <w:sz w:val="22"/>
          <w:szCs w:val="22"/>
        </w:rPr>
        <w:t>ffective implementation</w:t>
      </w:r>
      <w:r w:rsidR="00334A29">
        <w:rPr>
          <w:sz w:val="22"/>
          <w:szCs w:val="22"/>
        </w:rPr>
        <w:t xml:space="preserve"> is particularly important when it comes to those </w:t>
      </w:r>
      <w:r w:rsidR="008E287E">
        <w:rPr>
          <w:sz w:val="22"/>
          <w:szCs w:val="22"/>
        </w:rPr>
        <w:t xml:space="preserve">instruments that include </w:t>
      </w:r>
      <w:r w:rsidR="00457C54">
        <w:rPr>
          <w:sz w:val="22"/>
          <w:szCs w:val="22"/>
        </w:rPr>
        <w:t>sections on crisis preparedness and management, such as</w:t>
      </w:r>
      <w:r w:rsidR="009E2461">
        <w:rPr>
          <w:sz w:val="22"/>
          <w:szCs w:val="22"/>
        </w:rPr>
        <w:t>:</w:t>
      </w:r>
    </w:p>
    <w:p w14:paraId="30DB1985" w14:textId="3EC1022D" w:rsidR="00100EDC" w:rsidRPr="00100EDC" w:rsidRDefault="00100EDC" w:rsidP="00100EDC">
      <w:pPr>
        <w:pStyle w:val="ListParagraph"/>
        <w:numPr>
          <w:ilvl w:val="0"/>
          <w:numId w:val="19"/>
        </w:numPr>
        <w:ind w:left="567" w:hanging="207"/>
        <w:rPr>
          <w:sz w:val="22"/>
          <w:szCs w:val="22"/>
        </w:rPr>
      </w:pPr>
      <w:r w:rsidRPr="00100EDC">
        <w:rPr>
          <w:sz w:val="22"/>
          <w:szCs w:val="22"/>
        </w:rPr>
        <w:t>The SAFE Framework of Standards (SAFE FoS)</w:t>
      </w:r>
    </w:p>
    <w:p w14:paraId="606EE146" w14:textId="404E03DD" w:rsidR="00100EDC" w:rsidRPr="00100EDC" w:rsidRDefault="00100EDC" w:rsidP="00100EDC">
      <w:pPr>
        <w:pStyle w:val="ListParagraph"/>
        <w:numPr>
          <w:ilvl w:val="0"/>
          <w:numId w:val="19"/>
        </w:numPr>
        <w:ind w:left="567" w:hanging="207"/>
        <w:rPr>
          <w:sz w:val="22"/>
          <w:szCs w:val="22"/>
        </w:rPr>
      </w:pPr>
      <w:r w:rsidRPr="00100EDC">
        <w:rPr>
          <w:sz w:val="22"/>
          <w:szCs w:val="22"/>
        </w:rPr>
        <w:t>The Framework of Standards for Cross-</w:t>
      </w:r>
      <w:r w:rsidR="003461A6">
        <w:rPr>
          <w:sz w:val="22"/>
          <w:szCs w:val="22"/>
        </w:rPr>
        <w:t>B</w:t>
      </w:r>
      <w:r w:rsidRPr="00100EDC">
        <w:rPr>
          <w:sz w:val="22"/>
          <w:szCs w:val="22"/>
        </w:rPr>
        <w:t>order E-</w:t>
      </w:r>
      <w:r w:rsidR="003461A6">
        <w:rPr>
          <w:sz w:val="22"/>
          <w:szCs w:val="22"/>
        </w:rPr>
        <w:t>C</w:t>
      </w:r>
      <w:r w:rsidRPr="00100EDC">
        <w:rPr>
          <w:sz w:val="22"/>
          <w:szCs w:val="22"/>
        </w:rPr>
        <w:t>ommerce</w:t>
      </w:r>
    </w:p>
    <w:p w14:paraId="18C53218" w14:textId="0BF6FA99" w:rsidR="00100EDC" w:rsidRPr="00100EDC" w:rsidRDefault="003461A6" w:rsidP="00100EDC">
      <w:pPr>
        <w:pStyle w:val="ListParagraph"/>
        <w:numPr>
          <w:ilvl w:val="0"/>
          <w:numId w:val="19"/>
        </w:numPr>
        <w:ind w:left="567" w:hanging="207"/>
        <w:rPr>
          <w:sz w:val="22"/>
          <w:szCs w:val="22"/>
        </w:rPr>
      </w:pPr>
      <w:r>
        <w:rPr>
          <w:sz w:val="22"/>
          <w:szCs w:val="22"/>
        </w:rPr>
        <w:t>T</w:t>
      </w:r>
      <w:r w:rsidR="00100EDC" w:rsidRPr="00100EDC">
        <w:rPr>
          <w:sz w:val="22"/>
          <w:szCs w:val="22"/>
        </w:rPr>
        <w:t>he Trade Recovery Guidelines</w:t>
      </w:r>
    </w:p>
    <w:p w14:paraId="601F7944" w14:textId="13355AF0" w:rsidR="00100EDC" w:rsidRPr="00100EDC" w:rsidRDefault="00100EDC" w:rsidP="00100EDC">
      <w:pPr>
        <w:pStyle w:val="ListParagraph"/>
        <w:numPr>
          <w:ilvl w:val="0"/>
          <w:numId w:val="19"/>
        </w:numPr>
        <w:ind w:left="567" w:hanging="207"/>
        <w:rPr>
          <w:sz w:val="22"/>
          <w:szCs w:val="22"/>
        </w:rPr>
      </w:pPr>
      <w:r w:rsidRPr="00100EDC">
        <w:rPr>
          <w:sz w:val="22"/>
          <w:szCs w:val="22"/>
        </w:rPr>
        <w:t>The Coordinated Border Management Compendium</w:t>
      </w:r>
    </w:p>
    <w:p w14:paraId="37F7E9C8" w14:textId="002B62DC" w:rsidR="00100EDC" w:rsidRDefault="00100EDC" w:rsidP="00100EDC">
      <w:pPr>
        <w:pStyle w:val="ListParagraph"/>
        <w:numPr>
          <w:ilvl w:val="0"/>
          <w:numId w:val="19"/>
        </w:numPr>
        <w:ind w:left="567" w:hanging="207"/>
        <w:rPr>
          <w:sz w:val="22"/>
          <w:szCs w:val="22"/>
        </w:rPr>
      </w:pPr>
      <w:r w:rsidRPr="00100EDC">
        <w:rPr>
          <w:sz w:val="22"/>
          <w:szCs w:val="22"/>
        </w:rPr>
        <w:t>The Risk Management Compendium</w:t>
      </w:r>
    </w:p>
    <w:p w14:paraId="1E68C1ED" w14:textId="016B3FD8" w:rsidR="0064187F" w:rsidRPr="00100EDC" w:rsidRDefault="009115B0" w:rsidP="00100EDC">
      <w:pPr>
        <w:pStyle w:val="ListParagraph"/>
        <w:numPr>
          <w:ilvl w:val="0"/>
          <w:numId w:val="19"/>
        </w:numPr>
        <w:ind w:left="567" w:hanging="207"/>
        <w:rPr>
          <w:sz w:val="22"/>
          <w:szCs w:val="22"/>
        </w:rPr>
      </w:pPr>
      <w:r>
        <w:rPr>
          <w:sz w:val="22"/>
          <w:szCs w:val="22"/>
        </w:rPr>
        <w:t>Recommendations for Customs</w:t>
      </w:r>
      <w:r w:rsidR="00397016">
        <w:rPr>
          <w:sz w:val="22"/>
          <w:szCs w:val="22"/>
        </w:rPr>
        <w:t xml:space="preserve"> in fragile and conflict-affected situations</w:t>
      </w:r>
    </w:p>
    <w:p w14:paraId="3D9AF2B8" w14:textId="296CE968" w:rsidR="00B94717" w:rsidRDefault="009B787C" w:rsidP="008C4432">
      <w:pPr>
        <w:rPr>
          <w:sz w:val="22"/>
          <w:szCs w:val="22"/>
        </w:rPr>
      </w:pPr>
      <w:r>
        <w:rPr>
          <w:sz w:val="22"/>
          <w:szCs w:val="22"/>
        </w:rPr>
        <w:t xml:space="preserve">The impact of disruptions across the supply chain can be lessened through (further) streamlining of customs and security procedures. In addition, </w:t>
      </w:r>
      <w:r w:rsidR="007F04F8">
        <w:rPr>
          <w:sz w:val="22"/>
          <w:szCs w:val="22"/>
        </w:rPr>
        <w:t>taking these actions</w:t>
      </w:r>
      <w:r>
        <w:rPr>
          <w:sz w:val="22"/>
          <w:szCs w:val="22"/>
        </w:rPr>
        <w:t xml:space="preserve"> can provide </w:t>
      </w:r>
      <w:r w:rsidR="00C74CAB">
        <w:rPr>
          <w:sz w:val="22"/>
          <w:szCs w:val="22"/>
        </w:rPr>
        <w:t>all stakeholders</w:t>
      </w:r>
      <w:r w:rsidR="007F04F8">
        <w:rPr>
          <w:sz w:val="22"/>
          <w:szCs w:val="22"/>
        </w:rPr>
        <w:t xml:space="preserve"> with</w:t>
      </w:r>
      <w:r w:rsidR="00C74CAB">
        <w:rPr>
          <w:sz w:val="22"/>
          <w:szCs w:val="22"/>
        </w:rPr>
        <w:t xml:space="preserve"> better visibility and thus certainty </w:t>
      </w:r>
      <w:r w:rsidR="007F04F8">
        <w:rPr>
          <w:sz w:val="22"/>
          <w:szCs w:val="22"/>
        </w:rPr>
        <w:t>about how processes will be handled</w:t>
      </w:r>
      <w:r w:rsidR="00C74CAB">
        <w:rPr>
          <w:sz w:val="22"/>
          <w:szCs w:val="22"/>
        </w:rPr>
        <w:t xml:space="preserve">– </w:t>
      </w:r>
      <w:r>
        <w:rPr>
          <w:sz w:val="22"/>
          <w:szCs w:val="22"/>
        </w:rPr>
        <w:t xml:space="preserve">which is invaluable in times of crisis. </w:t>
      </w:r>
    </w:p>
    <w:p w14:paraId="0BA4EE85" w14:textId="7C5E5FF8" w:rsidR="00AE6A5D" w:rsidRPr="009E0703" w:rsidRDefault="00AE6A5D" w:rsidP="008C4432">
      <w:pPr>
        <w:rPr>
          <w:sz w:val="22"/>
          <w:szCs w:val="22"/>
        </w:rPr>
      </w:pPr>
      <w:r w:rsidRPr="009E0703">
        <w:rPr>
          <w:sz w:val="22"/>
          <w:szCs w:val="22"/>
        </w:rPr>
        <w:t>We believe that essential elements of private-public sector activity in the customs and larger trade environment include</w:t>
      </w:r>
      <w:r w:rsidR="00697373">
        <w:rPr>
          <w:sz w:val="22"/>
          <w:szCs w:val="22"/>
        </w:rPr>
        <w:t>:</w:t>
      </w:r>
    </w:p>
    <w:p w14:paraId="515F2CC5" w14:textId="189167CE" w:rsidR="00AE6A5D" w:rsidRPr="009E0703" w:rsidRDefault="00AE6A5D" w:rsidP="00697373">
      <w:pPr>
        <w:pStyle w:val="ListParagraph"/>
        <w:numPr>
          <w:ilvl w:val="1"/>
          <w:numId w:val="7"/>
        </w:numPr>
        <w:spacing w:after="120"/>
        <w:ind w:left="568" w:hanging="284"/>
        <w:contextualSpacing w:val="0"/>
        <w:rPr>
          <w:sz w:val="22"/>
          <w:szCs w:val="22"/>
        </w:rPr>
      </w:pPr>
      <w:r w:rsidRPr="009E0703">
        <w:rPr>
          <w:sz w:val="22"/>
          <w:szCs w:val="22"/>
        </w:rPr>
        <w:t>Plan for disruption</w:t>
      </w:r>
      <w:r w:rsidR="009B787C">
        <w:rPr>
          <w:sz w:val="22"/>
          <w:szCs w:val="22"/>
        </w:rPr>
        <w:t xml:space="preserve">: </w:t>
      </w:r>
      <w:r w:rsidRPr="009E0703">
        <w:rPr>
          <w:sz w:val="22"/>
          <w:szCs w:val="22"/>
        </w:rPr>
        <w:t>think through the impact of the unexpected</w:t>
      </w:r>
      <w:r w:rsidR="009B787C">
        <w:rPr>
          <w:sz w:val="22"/>
          <w:szCs w:val="22"/>
        </w:rPr>
        <w:t>,</w:t>
      </w:r>
      <w:r w:rsidRPr="009E0703">
        <w:rPr>
          <w:sz w:val="22"/>
          <w:szCs w:val="22"/>
        </w:rPr>
        <w:t xml:space="preserve"> while developing and capturing the best </w:t>
      </w:r>
      <w:r w:rsidR="009B787C">
        <w:rPr>
          <w:sz w:val="22"/>
          <w:szCs w:val="22"/>
        </w:rPr>
        <w:t xml:space="preserve">possible </w:t>
      </w:r>
      <w:r w:rsidRPr="009E0703">
        <w:rPr>
          <w:sz w:val="22"/>
          <w:szCs w:val="22"/>
        </w:rPr>
        <w:t>response mechanisms</w:t>
      </w:r>
      <w:r w:rsidR="009B787C">
        <w:rPr>
          <w:sz w:val="22"/>
          <w:szCs w:val="22"/>
        </w:rPr>
        <w:t xml:space="preserve">; </w:t>
      </w:r>
    </w:p>
    <w:p w14:paraId="4B457435" w14:textId="4909CE54" w:rsidR="00AE6A5D" w:rsidRPr="009E0703" w:rsidRDefault="00AE6A5D" w:rsidP="00697373">
      <w:pPr>
        <w:pStyle w:val="ListParagraph"/>
        <w:numPr>
          <w:ilvl w:val="1"/>
          <w:numId w:val="7"/>
        </w:numPr>
        <w:spacing w:after="120"/>
        <w:ind w:left="568" w:hanging="284"/>
        <w:contextualSpacing w:val="0"/>
        <w:rPr>
          <w:sz w:val="22"/>
          <w:szCs w:val="22"/>
        </w:rPr>
      </w:pPr>
      <w:r w:rsidRPr="009E0703">
        <w:rPr>
          <w:sz w:val="22"/>
          <w:szCs w:val="22"/>
        </w:rPr>
        <w:t>Practic</w:t>
      </w:r>
      <w:r w:rsidR="009B787C">
        <w:rPr>
          <w:sz w:val="22"/>
          <w:szCs w:val="22"/>
        </w:rPr>
        <w:t>e</w:t>
      </w:r>
      <w:r w:rsidRPr="009E0703">
        <w:rPr>
          <w:sz w:val="22"/>
          <w:szCs w:val="22"/>
        </w:rPr>
        <w:t xml:space="preserve"> those responses</w:t>
      </w:r>
      <w:r w:rsidR="009B787C">
        <w:rPr>
          <w:sz w:val="22"/>
          <w:szCs w:val="22"/>
        </w:rPr>
        <w:t xml:space="preserve">: assess </w:t>
      </w:r>
      <w:r w:rsidRPr="009E0703">
        <w:rPr>
          <w:sz w:val="22"/>
          <w:szCs w:val="22"/>
        </w:rPr>
        <w:t xml:space="preserve">that essential elements are in place and </w:t>
      </w:r>
      <w:r w:rsidR="009B787C">
        <w:rPr>
          <w:sz w:val="22"/>
          <w:szCs w:val="22"/>
        </w:rPr>
        <w:t>test them to determine if they will</w:t>
      </w:r>
      <w:r w:rsidRPr="009E0703">
        <w:rPr>
          <w:sz w:val="22"/>
          <w:szCs w:val="22"/>
        </w:rPr>
        <w:t xml:space="preserve"> accomplish </w:t>
      </w:r>
      <w:r w:rsidR="009B787C">
        <w:rPr>
          <w:sz w:val="22"/>
          <w:szCs w:val="22"/>
        </w:rPr>
        <w:t xml:space="preserve">the desired outcome; and </w:t>
      </w:r>
    </w:p>
    <w:p w14:paraId="4287EBA5" w14:textId="66CA2E1A" w:rsidR="00AE6A5D" w:rsidRPr="009E0703" w:rsidRDefault="009B787C" w:rsidP="00697373">
      <w:pPr>
        <w:pStyle w:val="ListParagraph"/>
        <w:numPr>
          <w:ilvl w:val="1"/>
          <w:numId w:val="7"/>
        </w:numPr>
        <w:spacing w:after="120"/>
        <w:ind w:left="568" w:hanging="284"/>
        <w:contextualSpacing w:val="0"/>
        <w:rPr>
          <w:sz w:val="22"/>
          <w:szCs w:val="22"/>
        </w:rPr>
      </w:pPr>
      <w:r>
        <w:rPr>
          <w:sz w:val="22"/>
          <w:szCs w:val="22"/>
        </w:rPr>
        <w:t xml:space="preserve">Engage </w:t>
      </w:r>
      <w:r w:rsidR="00AE6A5D" w:rsidRPr="009E0703">
        <w:rPr>
          <w:sz w:val="22"/>
          <w:szCs w:val="22"/>
        </w:rPr>
        <w:t>Partner Government Agencies</w:t>
      </w:r>
      <w:r>
        <w:rPr>
          <w:sz w:val="22"/>
          <w:szCs w:val="22"/>
        </w:rPr>
        <w:t>: all agencies</w:t>
      </w:r>
      <w:r w:rsidR="00AE6A5D" w:rsidRPr="009E0703">
        <w:rPr>
          <w:sz w:val="22"/>
          <w:szCs w:val="22"/>
        </w:rPr>
        <w:t xml:space="preserve"> operating at the border must be involved in the planning</w:t>
      </w:r>
      <w:r>
        <w:rPr>
          <w:sz w:val="22"/>
          <w:szCs w:val="22"/>
        </w:rPr>
        <w:t xml:space="preserve"> and response testing </w:t>
      </w:r>
      <w:r w:rsidR="00AE6A5D" w:rsidRPr="009E0703">
        <w:rPr>
          <w:sz w:val="22"/>
          <w:szCs w:val="22"/>
        </w:rPr>
        <w:t>to examine the</w:t>
      </w:r>
      <w:r>
        <w:rPr>
          <w:sz w:val="22"/>
          <w:szCs w:val="22"/>
        </w:rPr>
        <w:t xml:space="preserve"> outcomes and the </w:t>
      </w:r>
      <w:r w:rsidR="00AE6A5D" w:rsidRPr="009E0703">
        <w:rPr>
          <w:sz w:val="22"/>
          <w:szCs w:val="22"/>
        </w:rPr>
        <w:t xml:space="preserve">ability to apply flexibility to their standard </w:t>
      </w:r>
      <w:r w:rsidR="00AC0F9E" w:rsidRPr="009E0703">
        <w:rPr>
          <w:sz w:val="22"/>
          <w:szCs w:val="22"/>
        </w:rPr>
        <w:t>requirements.</w:t>
      </w:r>
    </w:p>
    <w:p w14:paraId="4A22EA9E" w14:textId="77777777" w:rsidR="00736D33" w:rsidRDefault="00736D33" w:rsidP="00AC0F9E">
      <w:pPr>
        <w:spacing w:after="0"/>
        <w:rPr>
          <w:sz w:val="22"/>
          <w:szCs w:val="22"/>
        </w:rPr>
      </w:pPr>
    </w:p>
    <w:p w14:paraId="73680356" w14:textId="1A2EC647" w:rsidR="00AE6A5D" w:rsidRPr="009E0703" w:rsidRDefault="00AE6A5D" w:rsidP="00BC5446">
      <w:pPr>
        <w:rPr>
          <w:sz w:val="22"/>
          <w:szCs w:val="22"/>
        </w:rPr>
      </w:pPr>
      <w:r w:rsidRPr="009E0703">
        <w:rPr>
          <w:sz w:val="22"/>
          <w:szCs w:val="22"/>
        </w:rPr>
        <w:t xml:space="preserve">Best practices for strengthening resilience </w:t>
      </w:r>
      <w:r w:rsidR="009B787C">
        <w:rPr>
          <w:sz w:val="22"/>
          <w:szCs w:val="22"/>
        </w:rPr>
        <w:t>c</w:t>
      </w:r>
      <w:r w:rsidRPr="009E0703">
        <w:rPr>
          <w:sz w:val="22"/>
          <w:szCs w:val="22"/>
        </w:rPr>
        <w:t>ould incorporate</w:t>
      </w:r>
      <w:r w:rsidR="00736D33">
        <w:rPr>
          <w:sz w:val="22"/>
          <w:szCs w:val="22"/>
        </w:rPr>
        <w:t>:</w:t>
      </w:r>
    </w:p>
    <w:p w14:paraId="7854F7BE" w14:textId="724F19A4" w:rsidR="00AE6A5D" w:rsidRPr="009E0703" w:rsidRDefault="00AE6A5D" w:rsidP="0001157E">
      <w:pPr>
        <w:pStyle w:val="ListParagraph"/>
        <w:numPr>
          <w:ilvl w:val="1"/>
          <w:numId w:val="7"/>
        </w:numPr>
        <w:spacing w:after="120"/>
        <w:ind w:left="568" w:hanging="284"/>
        <w:contextualSpacing w:val="0"/>
        <w:rPr>
          <w:sz w:val="22"/>
          <w:szCs w:val="22"/>
        </w:rPr>
      </w:pPr>
      <w:r w:rsidRPr="009E0703">
        <w:rPr>
          <w:sz w:val="22"/>
          <w:szCs w:val="22"/>
        </w:rPr>
        <w:t xml:space="preserve">Scenario planning to identify the extent of </w:t>
      </w:r>
      <w:r w:rsidR="006E22B6" w:rsidRPr="009E0703">
        <w:rPr>
          <w:sz w:val="22"/>
          <w:szCs w:val="22"/>
        </w:rPr>
        <w:t>disruptions</w:t>
      </w:r>
      <w:r w:rsidR="006E22B6">
        <w:rPr>
          <w:sz w:val="22"/>
          <w:szCs w:val="22"/>
        </w:rPr>
        <w:t>.</w:t>
      </w:r>
    </w:p>
    <w:p w14:paraId="6EB13DD0" w14:textId="12C0BAB7" w:rsidR="00AE6A5D" w:rsidRDefault="00AE6A5D" w:rsidP="0001157E">
      <w:pPr>
        <w:pStyle w:val="ListParagraph"/>
        <w:numPr>
          <w:ilvl w:val="1"/>
          <w:numId w:val="7"/>
        </w:numPr>
        <w:spacing w:after="120"/>
        <w:ind w:left="568" w:hanging="284"/>
        <w:contextualSpacing w:val="0"/>
        <w:rPr>
          <w:sz w:val="22"/>
          <w:szCs w:val="22"/>
        </w:rPr>
      </w:pPr>
      <w:r w:rsidRPr="009E0703">
        <w:rPr>
          <w:sz w:val="22"/>
          <w:szCs w:val="22"/>
        </w:rPr>
        <w:t>Tabletop exercises held by government and private sector organizations to test</w:t>
      </w:r>
      <w:r w:rsidR="0037539F">
        <w:rPr>
          <w:sz w:val="22"/>
          <w:szCs w:val="22"/>
        </w:rPr>
        <w:t xml:space="preserve"> and assess</w:t>
      </w:r>
      <w:r w:rsidRPr="009E0703">
        <w:rPr>
          <w:sz w:val="22"/>
          <w:szCs w:val="22"/>
        </w:rPr>
        <w:t xml:space="preserve"> protocols</w:t>
      </w:r>
      <w:r w:rsidR="006E22B6">
        <w:rPr>
          <w:sz w:val="22"/>
          <w:szCs w:val="22"/>
        </w:rPr>
        <w:t>.</w:t>
      </w:r>
    </w:p>
    <w:p w14:paraId="3608983E" w14:textId="196C551B" w:rsidR="00B8316A" w:rsidRDefault="00F007C7" w:rsidP="00F007C7">
      <w:pPr>
        <w:spacing w:after="120"/>
        <w:rPr>
          <w:sz w:val="22"/>
          <w:szCs w:val="22"/>
        </w:rPr>
      </w:pPr>
      <w:r w:rsidRPr="006C03F0">
        <w:rPr>
          <w:sz w:val="22"/>
          <w:szCs w:val="22"/>
        </w:rPr>
        <w:lastRenderedPageBreak/>
        <w:t>Build</w:t>
      </w:r>
      <w:r w:rsidR="00076EB5" w:rsidRPr="006C03F0">
        <w:rPr>
          <w:sz w:val="22"/>
          <w:szCs w:val="22"/>
        </w:rPr>
        <w:t xml:space="preserve"> on</w:t>
      </w:r>
      <w:r w:rsidR="004503EE" w:rsidRPr="006C03F0">
        <w:rPr>
          <w:sz w:val="22"/>
          <w:szCs w:val="22"/>
        </w:rPr>
        <w:t xml:space="preserve"> the</w:t>
      </w:r>
      <w:r w:rsidR="00076EB5" w:rsidRPr="006C03F0">
        <w:rPr>
          <w:sz w:val="22"/>
          <w:szCs w:val="22"/>
        </w:rPr>
        <w:t xml:space="preserve"> </w:t>
      </w:r>
      <w:hyperlink r:id="rId9" w:history="1">
        <w:r w:rsidR="00076EB5" w:rsidRPr="006C03F0">
          <w:rPr>
            <w:rStyle w:val="Hyperlink"/>
            <w:sz w:val="22"/>
            <w:szCs w:val="22"/>
          </w:rPr>
          <w:t>WCO Guidelines on disaster management and supply chain continuity</w:t>
        </w:r>
      </w:hyperlink>
      <w:r w:rsidR="00076EB5" w:rsidRPr="006C03F0">
        <w:rPr>
          <w:sz w:val="22"/>
          <w:szCs w:val="22"/>
        </w:rPr>
        <w:t xml:space="preserve"> (June 2021) </w:t>
      </w:r>
      <w:r w:rsidR="000E7111" w:rsidRPr="006C03F0">
        <w:rPr>
          <w:sz w:val="22"/>
          <w:szCs w:val="22"/>
        </w:rPr>
        <w:t xml:space="preserve">for </w:t>
      </w:r>
      <w:r w:rsidR="000B38C9">
        <w:rPr>
          <w:sz w:val="22"/>
          <w:szCs w:val="22"/>
        </w:rPr>
        <w:t xml:space="preserve">capacity-building and explore the inclusion of </w:t>
      </w:r>
      <w:r w:rsidR="004503EE">
        <w:rPr>
          <w:sz w:val="22"/>
          <w:szCs w:val="22"/>
        </w:rPr>
        <w:t>disruptions to business in the Guidelines</w:t>
      </w:r>
      <w:r w:rsidR="00B37AA6">
        <w:rPr>
          <w:sz w:val="22"/>
          <w:szCs w:val="22"/>
        </w:rPr>
        <w:t xml:space="preserve"> – as well as </w:t>
      </w:r>
      <w:r w:rsidR="006B5990">
        <w:rPr>
          <w:sz w:val="22"/>
          <w:szCs w:val="22"/>
        </w:rPr>
        <w:t>a thoughtful review and update</w:t>
      </w:r>
      <w:r w:rsidR="00B37AA6">
        <w:rPr>
          <w:sz w:val="22"/>
          <w:szCs w:val="22"/>
        </w:rPr>
        <w:t xml:space="preserve"> mechanism</w:t>
      </w:r>
      <w:r w:rsidR="00880883">
        <w:rPr>
          <w:sz w:val="22"/>
          <w:szCs w:val="22"/>
        </w:rPr>
        <w:t>.</w:t>
      </w:r>
    </w:p>
    <w:p w14:paraId="55D7CC13" w14:textId="77777777" w:rsidR="00254923" w:rsidRPr="0073371F" w:rsidRDefault="00254923" w:rsidP="00254923">
      <w:pPr>
        <w:rPr>
          <w:sz w:val="22"/>
          <w:szCs w:val="22"/>
        </w:rPr>
      </w:pPr>
      <w:r w:rsidRPr="0073371F">
        <w:rPr>
          <w:sz w:val="22"/>
          <w:szCs w:val="22"/>
        </w:rPr>
        <w:t xml:space="preserve">One practical example for increasing crisis preparedness and for successful public and private sector cooperation is the development of a new set of standard operating procedures (SOPs) in Madagascar to fast-track foreign emergency relief as part of the WCO COVID-19 project, funded by the government in Japan, which was done in cooperation with the Global Alliance for Trade Facilitation and the National Center for Disaster Preparedness at Columbia University. In 2022, two workshops were organized in Antananarivo to assist the National Office for Disaster and Risk Management (BNGRC), Madagascar Customs and other stakeholders in testing these procedures and enhancing their preparedness in facing the COVID-19 pandemic and other emergency situations, such as the cyclone season (more details </w:t>
      </w:r>
      <w:hyperlink r:id="rId10" w:history="1">
        <w:r w:rsidRPr="00206E0A">
          <w:rPr>
            <w:rStyle w:val="Hyperlink"/>
            <w:sz w:val="22"/>
            <w:szCs w:val="22"/>
          </w:rPr>
          <w:t>here</w:t>
        </w:r>
      </w:hyperlink>
      <w:r w:rsidRPr="0073371F">
        <w:rPr>
          <w:sz w:val="22"/>
          <w:szCs w:val="22"/>
        </w:rPr>
        <w:t>)</w:t>
      </w:r>
      <w:r>
        <w:rPr>
          <w:sz w:val="22"/>
          <w:szCs w:val="22"/>
        </w:rPr>
        <w:t>.</w:t>
      </w:r>
    </w:p>
    <w:p w14:paraId="65821147" w14:textId="36F793A9" w:rsidR="008A29AE" w:rsidRPr="00F007C7" w:rsidRDefault="008A29AE" w:rsidP="00F525AB">
      <w:pPr>
        <w:spacing w:after="0"/>
        <w:rPr>
          <w:sz w:val="22"/>
          <w:szCs w:val="22"/>
        </w:rPr>
      </w:pPr>
    </w:p>
    <w:p w14:paraId="08FDD875" w14:textId="48B170D4" w:rsidR="00AB261A" w:rsidRPr="009E0703" w:rsidRDefault="00B8316A" w:rsidP="0065203A">
      <w:pPr>
        <w:rPr>
          <w:b/>
          <w:bCs/>
          <w:sz w:val="22"/>
          <w:szCs w:val="22"/>
        </w:rPr>
      </w:pPr>
      <w:r>
        <w:rPr>
          <w:b/>
          <w:bCs/>
          <w:sz w:val="22"/>
          <w:szCs w:val="22"/>
        </w:rPr>
        <w:t xml:space="preserve">3. Building a </w:t>
      </w:r>
      <w:r w:rsidR="00F568EE">
        <w:rPr>
          <w:b/>
          <w:bCs/>
          <w:sz w:val="22"/>
          <w:szCs w:val="22"/>
        </w:rPr>
        <w:t>Crisis Management</w:t>
      </w:r>
      <w:r w:rsidR="0037539F">
        <w:rPr>
          <w:b/>
          <w:bCs/>
          <w:sz w:val="22"/>
          <w:szCs w:val="22"/>
        </w:rPr>
        <w:t xml:space="preserve"> and </w:t>
      </w:r>
      <w:r w:rsidR="00F568EE">
        <w:rPr>
          <w:b/>
          <w:bCs/>
          <w:sz w:val="22"/>
          <w:szCs w:val="22"/>
        </w:rPr>
        <w:t xml:space="preserve">Preparedness Framework – Example </w:t>
      </w:r>
    </w:p>
    <w:p w14:paraId="6CF66B56" w14:textId="62F3148F" w:rsidR="0037539F" w:rsidRDefault="0037539F" w:rsidP="00FE7992">
      <w:pPr>
        <w:spacing w:after="0"/>
        <w:rPr>
          <w:sz w:val="22"/>
          <w:szCs w:val="22"/>
        </w:rPr>
      </w:pPr>
      <w:r>
        <w:rPr>
          <w:sz w:val="22"/>
          <w:szCs w:val="22"/>
        </w:rPr>
        <w:t xml:space="preserve">A crisis management and preparedness framework could include: </w:t>
      </w:r>
    </w:p>
    <w:p w14:paraId="648DDA13" w14:textId="77777777" w:rsidR="0037539F" w:rsidRDefault="0037539F" w:rsidP="00FE7992">
      <w:pPr>
        <w:spacing w:after="0"/>
        <w:rPr>
          <w:sz w:val="22"/>
          <w:szCs w:val="22"/>
        </w:rPr>
      </w:pPr>
    </w:p>
    <w:p w14:paraId="19FC1CC0" w14:textId="2B37BABD" w:rsidR="00FA0DAD" w:rsidRPr="009E5EEB" w:rsidRDefault="00FA0DAD" w:rsidP="0037539F">
      <w:pPr>
        <w:spacing w:after="0"/>
        <w:rPr>
          <w:b/>
          <w:bCs/>
          <w:sz w:val="22"/>
          <w:szCs w:val="22"/>
        </w:rPr>
      </w:pPr>
      <w:r w:rsidRPr="009E5EEB">
        <w:rPr>
          <w:b/>
          <w:bCs/>
          <w:sz w:val="22"/>
          <w:szCs w:val="22"/>
        </w:rPr>
        <w:t>Crisis Communication</w:t>
      </w:r>
    </w:p>
    <w:p w14:paraId="5E9F678A" w14:textId="357396FC" w:rsidR="00FA0DAD" w:rsidRPr="009E0703" w:rsidRDefault="00FA0DAD" w:rsidP="00FE7992">
      <w:pPr>
        <w:pStyle w:val="ListParagraph"/>
        <w:numPr>
          <w:ilvl w:val="1"/>
          <w:numId w:val="9"/>
        </w:numPr>
        <w:ind w:left="567"/>
        <w:rPr>
          <w:sz w:val="22"/>
          <w:szCs w:val="22"/>
        </w:rPr>
      </w:pPr>
      <w:r w:rsidRPr="009E0703">
        <w:rPr>
          <w:sz w:val="22"/>
          <w:szCs w:val="22"/>
        </w:rPr>
        <w:t>Internal</w:t>
      </w:r>
    </w:p>
    <w:p w14:paraId="2E74116C" w14:textId="56378530" w:rsidR="00FA0DAD" w:rsidRPr="009E0703" w:rsidRDefault="00FA0DAD" w:rsidP="00FE7992">
      <w:pPr>
        <w:pStyle w:val="ListParagraph"/>
        <w:numPr>
          <w:ilvl w:val="1"/>
          <w:numId w:val="9"/>
        </w:numPr>
        <w:ind w:left="567"/>
        <w:rPr>
          <w:sz w:val="22"/>
          <w:szCs w:val="22"/>
        </w:rPr>
      </w:pPr>
      <w:r w:rsidRPr="009E0703">
        <w:rPr>
          <w:sz w:val="22"/>
          <w:szCs w:val="22"/>
        </w:rPr>
        <w:t>External (Government, Customers, Suppliers, Third Party Providers, etc.)</w:t>
      </w:r>
    </w:p>
    <w:p w14:paraId="2AFD6725" w14:textId="6E63B0B8" w:rsidR="00053581" w:rsidRPr="009E0703" w:rsidRDefault="00053581" w:rsidP="00FE7992">
      <w:pPr>
        <w:pStyle w:val="ListParagraph"/>
        <w:numPr>
          <w:ilvl w:val="1"/>
          <w:numId w:val="9"/>
        </w:numPr>
        <w:ind w:left="567"/>
        <w:rPr>
          <w:sz w:val="22"/>
          <w:szCs w:val="22"/>
        </w:rPr>
      </w:pPr>
      <w:r w:rsidRPr="009E0703">
        <w:rPr>
          <w:sz w:val="22"/>
          <w:szCs w:val="22"/>
        </w:rPr>
        <w:t>People – safe</w:t>
      </w:r>
      <w:r w:rsidR="006C7498">
        <w:rPr>
          <w:sz w:val="22"/>
          <w:szCs w:val="22"/>
        </w:rPr>
        <w:t>ty</w:t>
      </w:r>
      <w:r w:rsidR="0037539F">
        <w:rPr>
          <w:sz w:val="22"/>
          <w:szCs w:val="22"/>
        </w:rPr>
        <w:t xml:space="preserve"> including known locations of employees, having a call to action in place, continuous system access, </w:t>
      </w:r>
      <w:r w:rsidR="00FF5BB4">
        <w:rPr>
          <w:sz w:val="22"/>
          <w:szCs w:val="22"/>
        </w:rPr>
        <w:t>l</w:t>
      </w:r>
      <w:r w:rsidRPr="009E0703">
        <w:rPr>
          <w:sz w:val="22"/>
          <w:szCs w:val="22"/>
        </w:rPr>
        <w:t>ocations known, call to action, system access, training, equipment</w:t>
      </w:r>
    </w:p>
    <w:p w14:paraId="2190142C" w14:textId="52075113" w:rsidR="00053581" w:rsidRPr="009E0703" w:rsidRDefault="00053581" w:rsidP="00FE7992">
      <w:pPr>
        <w:pStyle w:val="ListParagraph"/>
        <w:numPr>
          <w:ilvl w:val="1"/>
          <w:numId w:val="9"/>
        </w:numPr>
        <w:ind w:left="567"/>
        <w:rPr>
          <w:sz w:val="22"/>
          <w:szCs w:val="22"/>
        </w:rPr>
      </w:pPr>
      <w:r w:rsidRPr="009E0703">
        <w:rPr>
          <w:sz w:val="22"/>
          <w:szCs w:val="22"/>
        </w:rPr>
        <w:t>Government Agencies – AEO notification, IS Security, notifications, downtime procedures, flexibility</w:t>
      </w:r>
    </w:p>
    <w:p w14:paraId="7DBE1E77" w14:textId="0DABCFE5" w:rsidR="00053581" w:rsidRPr="009E0703" w:rsidRDefault="00053581" w:rsidP="00FE7992">
      <w:pPr>
        <w:pStyle w:val="ListParagraph"/>
        <w:numPr>
          <w:ilvl w:val="1"/>
          <w:numId w:val="9"/>
        </w:numPr>
        <w:ind w:left="567"/>
        <w:rPr>
          <w:sz w:val="22"/>
          <w:szCs w:val="22"/>
        </w:rPr>
      </w:pPr>
      <w:r w:rsidRPr="009E0703">
        <w:rPr>
          <w:sz w:val="22"/>
          <w:szCs w:val="22"/>
        </w:rPr>
        <w:t>Systems notifications</w:t>
      </w:r>
    </w:p>
    <w:p w14:paraId="774120D4" w14:textId="501D92B9" w:rsidR="00053581" w:rsidRPr="009E0703" w:rsidRDefault="00053581" w:rsidP="00FE7992">
      <w:pPr>
        <w:pStyle w:val="ListParagraph"/>
        <w:numPr>
          <w:ilvl w:val="1"/>
          <w:numId w:val="9"/>
        </w:numPr>
        <w:ind w:left="567"/>
        <w:rPr>
          <w:sz w:val="22"/>
          <w:szCs w:val="22"/>
        </w:rPr>
      </w:pPr>
      <w:r w:rsidRPr="009E0703">
        <w:rPr>
          <w:sz w:val="22"/>
          <w:szCs w:val="22"/>
        </w:rPr>
        <w:t>Processes aligned with outside groups</w:t>
      </w:r>
      <w:r w:rsidR="00772F38">
        <w:rPr>
          <w:sz w:val="22"/>
          <w:szCs w:val="22"/>
        </w:rPr>
        <w:t>, such as NGOs</w:t>
      </w:r>
    </w:p>
    <w:p w14:paraId="79AD9F52" w14:textId="2C35C191" w:rsidR="00FA0DAD" w:rsidRPr="009E5EEB" w:rsidRDefault="00FA0DAD" w:rsidP="00FE7992">
      <w:pPr>
        <w:spacing w:after="0"/>
        <w:rPr>
          <w:b/>
          <w:bCs/>
          <w:sz w:val="22"/>
          <w:szCs w:val="22"/>
        </w:rPr>
      </w:pPr>
      <w:r w:rsidRPr="009E5EEB">
        <w:rPr>
          <w:b/>
          <w:bCs/>
          <w:sz w:val="22"/>
          <w:szCs w:val="22"/>
        </w:rPr>
        <w:t>B</w:t>
      </w:r>
      <w:r w:rsidR="001E2B61" w:rsidRPr="009E5EEB">
        <w:rPr>
          <w:b/>
          <w:bCs/>
          <w:sz w:val="22"/>
          <w:szCs w:val="22"/>
        </w:rPr>
        <w:t>usiness Continuity Plan (B</w:t>
      </w:r>
      <w:r w:rsidRPr="009E5EEB">
        <w:rPr>
          <w:b/>
          <w:bCs/>
          <w:sz w:val="22"/>
          <w:szCs w:val="22"/>
        </w:rPr>
        <w:t>CP</w:t>
      </w:r>
      <w:r w:rsidR="001E2B61" w:rsidRPr="009E5EEB">
        <w:rPr>
          <w:b/>
          <w:bCs/>
          <w:sz w:val="22"/>
          <w:szCs w:val="22"/>
        </w:rPr>
        <w:t>)</w:t>
      </w:r>
      <w:r w:rsidRPr="009E5EEB">
        <w:rPr>
          <w:b/>
          <w:bCs/>
          <w:sz w:val="22"/>
          <w:szCs w:val="22"/>
        </w:rPr>
        <w:t xml:space="preserve"> Operational Template</w:t>
      </w:r>
    </w:p>
    <w:p w14:paraId="0B99B37C" w14:textId="625A4287" w:rsidR="00FA0DAD" w:rsidRPr="009E0703" w:rsidRDefault="00FA0DAD" w:rsidP="00FE7992">
      <w:pPr>
        <w:pStyle w:val="ListParagraph"/>
        <w:numPr>
          <w:ilvl w:val="1"/>
          <w:numId w:val="9"/>
        </w:numPr>
        <w:ind w:left="567"/>
        <w:rPr>
          <w:sz w:val="22"/>
          <w:szCs w:val="22"/>
        </w:rPr>
      </w:pPr>
      <w:r w:rsidRPr="009E0703">
        <w:rPr>
          <w:sz w:val="22"/>
          <w:szCs w:val="22"/>
        </w:rPr>
        <w:t xml:space="preserve">Assess </w:t>
      </w:r>
      <w:r w:rsidR="001E2B61">
        <w:rPr>
          <w:sz w:val="22"/>
          <w:szCs w:val="22"/>
        </w:rPr>
        <w:t>s</w:t>
      </w:r>
      <w:r w:rsidRPr="009E0703">
        <w:rPr>
          <w:sz w:val="22"/>
          <w:szCs w:val="22"/>
        </w:rPr>
        <w:t>tatus (Reports, Prioritization)</w:t>
      </w:r>
    </w:p>
    <w:p w14:paraId="4592979C" w14:textId="06A292D2" w:rsidR="00FA0DAD" w:rsidRPr="009E0703" w:rsidRDefault="00FA0DAD" w:rsidP="00FE7992">
      <w:pPr>
        <w:pStyle w:val="ListParagraph"/>
        <w:numPr>
          <w:ilvl w:val="1"/>
          <w:numId w:val="9"/>
        </w:numPr>
        <w:ind w:left="567"/>
        <w:rPr>
          <w:sz w:val="22"/>
          <w:szCs w:val="22"/>
        </w:rPr>
      </w:pPr>
      <w:r w:rsidRPr="009E0703">
        <w:rPr>
          <w:sz w:val="22"/>
          <w:szCs w:val="22"/>
        </w:rPr>
        <w:t xml:space="preserve">Record </w:t>
      </w:r>
      <w:r w:rsidR="001E2B61">
        <w:rPr>
          <w:sz w:val="22"/>
          <w:szCs w:val="22"/>
        </w:rPr>
        <w:t>a</w:t>
      </w:r>
      <w:r w:rsidRPr="009E0703">
        <w:rPr>
          <w:sz w:val="22"/>
          <w:szCs w:val="22"/>
        </w:rPr>
        <w:t>ctivities offline in a consistent</w:t>
      </w:r>
      <w:r w:rsidR="000257DC" w:rsidRPr="009E0703">
        <w:rPr>
          <w:sz w:val="22"/>
          <w:szCs w:val="22"/>
        </w:rPr>
        <w:t>ly</w:t>
      </w:r>
      <w:r w:rsidRPr="009E0703">
        <w:rPr>
          <w:sz w:val="22"/>
          <w:szCs w:val="22"/>
        </w:rPr>
        <w:t xml:space="preserve"> planned format</w:t>
      </w:r>
    </w:p>
    <w:p w14:paraId="4337000B" w14:textId="610272E5" w:rsidR="00FA0DAD" w:rsidRPr="009E0703" w:rsidRDefault="00053581" w:rsidP="00FE7992">
      <w:pPr>
        <w:pStyle w:val="ListParagraph"/>
        <w:numPr>
          <w:ilvl w:val="1"/>
          <w:numId w:val="9"/>
        </w:numPr>
        <w:ind w:left="567"/>
        <w:rPr>
          <w:sz w:val="22"/>
          <w:szCs w:val="22"/>
        </w:rPr>
      </w:pPr>
      <w:r w:rsidRPr="009E0703">
        <w:rPr>
          <w:sz w:val="22"/>
          <w:szCs w:val="22"/>
        </w:rPr>
        <w:t xml:space="preserve">Data and </w:t>
      </w:r>
      <w:r w:rsidR="001E2B61">
        <w:rPr>
          <w:sz w:val="22"/>
          <w:szCs w:val="22"/>
        </w:rPr>
        <w:t>d</w:t>
      </w:r>
      <w:r w:rsidRPr="009E0703">
        <w:rPr>
          <w:sz w:val="22"/>
          <w:szCs w:val="22"/>
        </w:rPr>
        <w:t>ocument</w:t>
      </w:r>
      <w:r w:rsidR="001E2B61">
        <w:rPr>
          <w:sz w:val="22"/>
          <w:szCs w:val="22"/>
        </w:rPr>
        <w:t xml:space="preserve"> or documentation</w:t>
      </w:r>
      <w:r w:rsidRPr="009E0703">
        <w:rPr>
          <w:sz w:val="22"/>
          <w:szCs w:val="22"/>
        </w:rPr>
        <w:t xml:space="preserve"> redundancy</w:t>
      </w:r>
    </w:p>
    <w:p w14:paraId="0D715096" w14:textId="63DC4CDA" w:rsidR="00053581" w:rsidRPr="009E0703" w:rsidRDefault="00053581" w:rsidP="00FE7992">
      <w:pPr>
        <w:pStyle w:val="ListParagraph"/>
        <w:numPr>
          <w:ilvl w:val="1"/>
          <w:numId w:val="9"/>
        </w:numPr>
        <w:ind w:left="567"/>
        <w:rPr>
          <w:sz w:val="22"/>
          <w:szCs w:val="22"/>
        </w:rPr>
      </w:pPr>
      <w:r w:rsidRPr="009E0703">
        <w:rPr>
          <w:sz w:val="22"/>
          <w:szCs w:val="22"/>
        </w:rPr>
        <w:t>Validations</w:t>
      </w:r>
    </w:p>
    <w:p w14:paraId="157D309F" w14:textId="1521E050" w:rsidR="00053581" w:rsidRPr="009E0703" w:rsidRDefault="00053581" w:rsidP="00FE7992">
      <w:pPr>
        <w:pStyle w:val="ListParagraph"/>
        <w:numPr>
          <w:ilvl w:val="1"/>
          <w:numId w:val="9"/>
        </w:numPr>
        <w:ind w:left="567"/>
        <w:rPr>
          <w:sz w:val="22"/>
          <w:szCs w:val="22"/>
        </w:rPr>
      </w:pPr>
      <w:r w:rsidRPr="009E0703">
        <w:rPr>
          <w:sz w:val="22"/>
          <w:szCs w:val="22"/>
        </w:rPr>
        <w:t xml:space="preserve">Declarations or </w:t>
      </w:r>
      <w:r w:rsidR="001E2B61">
        <w:rPr>
          <w:sz w:val="22"/>
          <w:szCs w:val="22"/>
        </w:rPr>
        <w:t>d</w:t>
      </w:r>
      <w:r w:rsidRPr="009E0703">
        <w:rPr>
          <w:sz w:val="22"/>
          <w:szCs w:val="22"/>
        </w:rPr>
        <w:t>owntime procedures</w:t>
      </w:r>
    </w:p>
    <w:p w14:paraId="0C8B0729" w14:textId="1493EA9A" w:rsidR="00053581" w:rsidRPr="009E0703" w:rsidRDefault="00053581" w:rsidP="00FE7992">
      <w:pPr>
        <w:pStyle w:val="ListParagraph"/>
        <w:numPr>
          <w:ilvl w:val="1"/>
          <w:numId w:val="9"/>
        </w:numPr>
        <w:ind w:left="567"/>
        <w:rPr>
          <w:sz w:val="22"/>
          <w:szCs w:val="22"/>
        </w:rPr>
      </w:pPr>
      <w:r w:rsidRPr="009E0703">
        <w:rPr>
          <w:sz w:val="22"/>
          <w:szCs w:val="22"/>
        </w:rPr>
        <w:t>Delivery</w:t>
      </w:r>
    </w:p>
    <w:p w14:paraId="099BD75D" w14:textId="23AF7599" w:rsidR="00053581" w:rsidRPr="009E0703" w:rsidRDefault="00053581" w:rsidP="00FE7992">
      <w:pPr>
        <w:pStyle w:val="ListParagraph"/>
        <w:numPr>
          <w:ilvl w:val="1"/>
          <w:numId w:val="9"/>
        </w:numPr>
        <w:ind w:left="567"/>
        <w:rPr>
          <w:sz w:val="22"/>
          <w:szCs w:val="22"/>
        </w:rPr>
      </w:pPr>
      <w:r w:rsidRPr="009E0703">
        <w:rPr>
          <w:sz w:val="22"/>
          <w:szCs w:val="22"/>
        </w:rPr>
        <w:t>Resources needed</w:t>
      </w:r>
    </w:p>
    <w:p w14:paraId="1D3F443A" w14:textId="3C6BC4CA" w:rsidR="00053581" w:rsidRPr="009E0703" w:rsidRDefault="00053581" w:rsidP="00FE7992">
      <w:pPr>
        <w:pStyle w:val="ListParagraph"/>
        <w:numPr>
          <w:ilvl w:val="1"/>
          <w:numId w:val="9"/>
        </w:numPr>
        <w:ind w:left="567"/>
        <w:rPr>
          <w:sz w:val="22"/>
          <w:szCs w:val="22"/>
        </w:rPr>
      </w:pPr>
      <w:r w:rsidRPr="009E0703">
        <w:rPr>
          <w:sz w:val="22"/>
          <w:szCs w:val="22"/>
        </w:rPr>
        <w:t>Duty and Tax Management</w:t>
      </w:r>
    </w:p>
    <w:p w14:paraId="0D695A32" w14:textId="6B166E49" w:rsidR="00053581" w:rsidRPr="009E0703" w:rsidRDefault="00053581" w:rsidP="00FE7992">
      <w:pPr>
        <w:pStyle w:val="ListParagraph"/>
        <w:numPr>
          <w:ilvl w:val="1"/>
          <w:numId w:val="9"/>
        </w:numPr>
        <w:ind w:left="567"/>
        <w:rPr>
          <w:sz w:val="22"/>
          <w:szCs w:val="22"/>
        </w:rPr>
      </w:pPr>
      <w:r w:rsidRPr="009E0703">
        <w:rPr>
          <w:sz w:val="22"/>
          <w:szCs w:val="22"/>
        </w:rPr>
        <w:t>Finance</w:t>
      </w:r>
    </w:p>
    <w:p w14:paraId="5691CB72" w14:textId="199314E3" w:rsidR="00053581" w:rsidRPr="009E0703" w:rsidRDefault="00053581" w:rsidP="00FE7992">
      <w:pPr>
        <w:pStyle w:val="ListParagraph"/>
        <w:numPr>
          <w:ilvl w:val="1"/>
          <w:numId w:val="9"/>
        </w:numPr>
        <w:ind w:left="567"/>
        <w:rPr>
          <w:sz w:val="22"/>
          <w:szCs w:val="22"/>
        </w:rPr>
      </w:pPr>
      <w:r w:rsidRPr="009E0703">
        <w:rPr>
          <w:sz w:val="22"/>
          <w:szCs w:val="22"/>
        </w:rPr>
        <w:t xml:space="preserve">Compliance considerations </w:t>
      </w:r>
      <w:r w:rsidR="000257DC" w:rsidRPr="009E0703">
        <w:rPr>
          <w:sz w:val="22"/>
          <w:szCs w:val="22"/>
        </w:rPr>
        <w:t xml:space="preserve">- </w:t>
      </w:r>
      <w:r w:rsidRPr="009E0703">
        <w:rPr>
          <w:sz w:val="22"/>
          <w:szCs w:val="22"/>
        </w:rPr>
        <w:t>Sanctions, Embargos, Screening, Restricted Commoditie</w:t>
      </w:r>
      <w:r w:rsidR="000257DC" w:rsidRPr="009E0703">
        <w:rPr>
          <w:sz w:val="22"/>
          <w:szCs w:val="22"/>
        </w:rPr>
        <w:t>s</w:t>
      </w:r>
      <w:r w:rsidRPr="009E0703">
        <w:rPr>
          <w:sz w:val="22"/>
          <w:szCs w:val="22"/>
        </w:rPr>
        <w:t>, D</w:t>
      </w:r>
      <w:r w:rsidR="007F7495">
        <w:rPr>
          <w:sz w:val="22"/>
          <w:szCs w:val="22"/>
        </w:rPr>
        <w:t>ata Governance</w:t>
      </w:r>
      <w:r w:rsidRPr="009E0703">
        <w:rPr>
          <w:sz w:val="22"/>
          <w:szCs w:val="22"/>
        </w:rPr>
        <w:t>, Policies, Third Parties</w:t>
      </w:r>
    </w:p>
    <w:p w14:paraId="5F144975" w14:textId="485A937C" w:rsidR="000257DC" w:rsidRPr="009E5EEB" w:rsidRDefault="00053581" w:rsidP="009E5EEB">
      <w:pPr>
        <w:pStyle w:val="ListParagraph"/>
        <w:numPr>
          <w:ilvl w:val="1"/>
          <w:numId w:val="9"/>
        </w:numPr>
        <w:ind w:left="567"/>
        <w:rPr>
          <w:sz w:val="22"/>
          <w:szCs w:val="22"/>
        </w:rPr>
      </w:pPr>
      <w:r w:rsidRPr="001E2B61">
        <w:rPr>
          <w:sz w:val="22"/>
          <w:szCs w:val="22"/>
        </w:rPr>
        <w:t xml:space="preserve">Resources – Crisis Management Teams, alternative tracking, SOPs, management, service providers, Country level instructions, </w:t>
      </w:r>
      <w:r w:rsidR="007F7495" w:rsidRPr="001E2B61">
        <w:rPr>
          <w:sz w:val="22"/>
          <w:szCs w:val="22"/>
        </w:rPr>
        <w:t xml:space="preserve">milestone </w:t>
      </w:r>
      <w:r w:rsidR="007F7495" w:rsidRPr="009E5EEB">
        <w:rPr>
          <w:sz w:val="22"/>
          <w:szCs w:val="22"/>
        </w:rPr>
        <w:t>Systems</w:t>
      </w:r>
      <w:r w:rsidRPr="009E5EEB">
        <w:rPr>
          <w:sz w:val="22"/>
          <w:szCs w:val="22"/>
        </w:rPr>
        <w:t xml:space="preserve"> – alternatives, back-ups, third</w:t>
      </w:r>
      <w:r w:rsidR="000257DC" w:rsidRPr="009E5EEB">
        <w:rPr>
          <w:sz w:val="22"/>
          <w:szCs w:val="22"/>
        </w:rPr>
        <w:t>-</w:t>
      </w:r>
      <w:r w:rsidRPr="009E5EEB">
        <w:rPr>
          <w:sz w:val="22"/>
          <w:szCs w:val="22"/>
        </w:rPr>
        <w:t>party systems</w:t>
      </w:r>
      <w:r w:rsidR="000257DC" w:rsidRPr="009E5EEB">
        <w:rPr>
          <w:sz w:val="22"/>
          <w:szCs w:val="22"/>
        </w:rPr>
        <w:t xml:space="preserve">, </w:t>
      </w:r>
      <w:r w:rsidR="0048293C">
        <w:rPr>
          <w:sz w:val="22"/>
          <w:szCs w:val="22"/>
        </w:rPr>
        <w:t>Electronic Data Interchange</w:t>
      </w:r>
      <w:r w:rsidR="000257DC" w:rsidRPr="009E5EEB">
        <w:rPr>
          <w:sz w:val="22"/>
          <w:szCs w:val="22"/>
        </w:rPr>
        <w:t xml:space="preserve">, email, </w:t>
      </w:r>
      <w:r w:rsidR="007F7495" w:rsidRPr="009E5EEB">
        <w:rPr>
          <w:sz w:val="22"/>
          <w:szCs w:val="22"/>
        </w:rPr>
        <w:t>etc. Best</w:t>
      </w:r>
      <w:r w:rsidRPr="009E5EEB">
        <w:rPr>
          <w:sz w:val="22"/>
          <w:szCs w:val="22"/>
        </w:rPr>
        <w:t xml:space="preserve"> Practices – workshops, aligned plans</w:t>
      </w:r>
    </w:p>
    <w:p w14:paraId="4B061E20" w14:textId="2484A855" w:rsidR="00AB261A" w:rsidRPr="009E0703" w:rsidRDefault="00AB261A" w:rsidP="00FE7992">
      <w:pPr>
        <w:pStyle w:val="ListParagraph"/>
        <w:numPr>
          <w:ilvl w:val="0"/>
          <w:numId w:val="15"/>
        </w:numPr>
        <w:ind w:left="567"/>
        <w:rPr>
          <w:sz w:val="22"/>
          <w:szCs w:val="22"/>
        </w:rPr>
      </w:pPr>
      <w:r w:rsidRPr="009E0703">
        <w:rPr>
          <w:sz w:val="22"/>
          <w:szCs w:val="22"/>
        </w:rPr>
        <w:t xml:space="preserve">Customer instructions </w:t>
      </w:r>
      <w:r w:rsidR="000257DC" w:rsidRPr="009E0703">
        <w:rPr>
          <w:sz w:val="22"/>
          <w:szCs w:val="22"/>
        </w:rPr>
        <w:t>and SOPs</w:t>
      </w:r>
    </w:p>
    <w:p w14:paraId="4AE94642" w14:textId="464A9C95" w:rsidR="00AB261A" w:rsidRPr="009E0703" w:rsidRDefault="00AB261A" w:rsidP="00FE7992">
      <w:pPr>
        <w:pStyle w:val="ListParagraph"/>
        <w:numPr>
          <w:ilvl w:val="1"/>
          <w:numId w:val="9"/>
        </w:numPr>
        <w:ind w:left="567"/>
        <w:rPr>
          <w:sz w:val="22"/>
          <w:szCs w:val="22"/>
        </w:rPr>
      </w:pPr>
      <w:r w:rsidRPr="009E0703">
        <w:rPr>
          <w:sz w:val="22"/>
          <w:szCs w:val="22"/>
        </w:rPr>
        <w:t>Authorizations</w:t>
      </w:r>
    </w:p>
    <w:p w14:paraId="3765D5C6" w14:textId="5ABA6998" w:rsidR="00AB261A" w:rsidRPr="009E0703" w:rsidRDefault="00AB261A" w:rsidP="00FE7992">
      <w:pPr>
        <w:pStyle w:val="ListParagraph"/>
        <w:numPr>
          <w:ilvl w:val="1"/>
          <w:numId w:val="9"/>
        </w:numPr>
        <w:ind w:left="567"/>
        <w:rPr>
          <w:sz w:val="22"/>
          <w:szCs w:val="22"/>
        </w:rPr>
      </w:pPr>
      <w:r w:rsidRPr="009E0703">
        <w:rPr>
          <w:sz w:val="22"/>
          <w:szCs w:val="22"/>
        </w:rPr>
        <w:t>Milestones</w:t>
      </w:r>
    </w:p>
    <w:p w14:paraId="3C71CED3" w14:textId="32D714DA" w:rsidR="00AB261A" w:rsidRPr="009E0703" w:rsidRDefault="00AB261A" w:rsidP="00FE7992">
      <w:pPr>
        <w:pStyle w:val="ListParagraph"/>
        <w:numPr>
          <w:ilvl w:val="1"/>
          <w:numId w:val="9"/>
        </w:numPr>
        <w:ind w:left="567"/>
        <w:rPr>
          <w:sz w:val="22"/>
          <w:szCs w:val="22"/>
        </w:rPr>
      </w:pPr>
      <w:r w:rsidRPr="009E0703">
        <w:rPr>
          <w:sz w:val="22"/>
          <w:szCs w:val="22"/>
        </w:rPr>
        <w:t>Safeguard planning</w:t>
      </w:r>
    </w:p>
    <w:p w14:paraId="0047B76E" w14:textId="10CF9D34" w:rsidR="00AB261A" w:rsidRPr="009E0703" w:rsidRDefault="00AB261A" w:rsidP="00FE7992">
      <w:pPr>
        <w:pStyle w:val="ListParagraph"/>
        <w:numPr>
          <w:ilvl w:val="1"/>
          <w:numId w:val="9"/>
        </w:numPr>
        <w:ind w:left="567"/>
        <w:rPr>
          <w:sz w:val="22"/>
          <w:szCs w:val="22"/>
        </w:rPr>
      </w:pPr>
      <w:r w:rsidRPr="009E0703">
        <w:rPr>
          <w:sz w:val="22"/>
          <w:szCs w:val="22"/>
        </w:rPr>
        <w:t>Visibility</w:t>
      </w:r>
    </w:p>
    <w:p w14:paraId="07CE8B1E" w14:textId="0C42D288" w:rsidR="00AB261A" w:rsidRPr="009E0703" w:rsidRDefault="00AB261A" w:rsidP="00FE7992">
      <w:pPr>
        <w:pStyle w:val="ListParagraph"/>
        <w:numPr>
          <w:ilvl w:val="1"/>
          <w:numId w:val="9"/>
        </w:numPr>
        <w:ind w:left="567"/>
        <w:rPr>
          <w:sz w:val="22"/>
          <w:szCs w:val="22"/>
        </w:rPr>
      </w:pPr>
      <w:r w:rsidRPr="009E0703">
        <w:rPr>
          <w:sz w:val="22"/>
          <w:szCs w:val="22"/>
        </w:rPr>
        <w:t>Documents</w:t>
      </w:r>
    </w:p>
    <w:p w14:paraId="7C129C76" w14:textId="05B3D83E" w:rsidR="00AB261A" w:rsidRPr="009E0703" w:rsidRDefault="00AB261A" w:rsidP="00FE7992">
      <w:pPr>
        <w:pStyle w:val="ListParagraph"/>
        <w:numPr>
          <w:ilvl w:val="1"/>
          <w:numId w:val="9"/>
        </w:numPr>
        <w:ind w:left="567"/>
        <w:rPr>
          <w:sz w:val="22"/>
          <w:szCs w:val="22"/>
        </w:rPr>
      </w:pPr>
      <w:r w:rsidRPr="009E0703">
        <w:rPr>
          <w:sz w:val="22"/>
          <w:szCs w:val="22"/>
        </w:rPr>
        <w:t>Government Agencies</w:t>
      </w:r>
    </w:p>
    <w:p w14:paraId="5F7B8236" w14:textId="69AAE035" w:rsidR="00AB261A" w:rsidRPr="009E0703" w:rsidRDefault="00AB261A" w:rsidP="00FE7992">
      <w:pPr>
        <w:pStyle w:val="ListParagraph"/>
        <w:numPr>
          <w:ilvl w:val="1"/>
          <w:numId w:val="9"/>
        </w:numPr>
        <w:ind w:left="567"/>
        <w:rPr>
          <w:sz w:val="22"/>
          <w:szCs w:val="22"/>
        </w:rPr>
      </w:pPr>
      <w:r w:rsidRPr="009E0703">
        <w:rPr>
          <w:sz w:val="22"/>
          <w:szCs w:val="22"/>
        </w:rPr>
        <w:t>Service Providers</w:t>
      </w:r>
    </w:p>
    <w:p w14:paraId="44AB895D" w14:textId="5D34A7B7" w:rsidR="00FA0DAD" w:rsidRPr="009E0703" w:rsidRDefault="00AB261A" w:rsidP="00FE7992">
      <w:pPr>
        <w:pStyle w:val="ListParagraph"/>
        <w:numPr>
          <w:ilvl w:val="1"/>
          <w:numId w:val="9"/>
        </w:numPr>
        <w:ind w:left="567"/>
        <w:rPr>
          <w:sz w:val="22"/>
          <w:szCs w:val="22"/>
        </w:rPr>
      </w:pPr>
      <w:r w:rsidRPr="009E0703">
        <w:rPr>
          <w:sz w:val="22"/>
          <w:szCs w:val="22"/>
        </w:rPr>
        <w:t>Third</w:t>
      </w:r>
      <w:r w:rsidR="000257DC" w:rsidRPr="009E0703">
        <w:rPr>
          <w:sz w:val="22"/>
          <w:szCs w:val="22"/>
        </w:rPr>
        <w:t>-</w:t>
      </w:r>
      <w:r w:rsidRPr="009E0703">
        <w:rPr>
          <w:sz w:val="22"/>
          <w:szCs w:val="22"/>
        </w:rPr>
        <w:t>party systems</w:t>
      </w:r>
      <w:r w:rsidR="00A818D7">
        <w:rPr>
          <w:sz w:val="22"/>
          <w:szCs w:val="22"/>
        </w:rPr>
        <w:t>`</w:t>
      </w:r>
    </w:p>
    <w:p w14:paraId="74B02EA4" w14:textId="77777777" w:rsidR="000257DC" w:rsidRPr="009E0703" w:rsidRDefault="0065203A" w:rsidP="00FE7992">
      <w:pPr>
        <w:pStyle w:val="ListParagraph"/>
        <w:numPr>
          <w:ilvl w:val="1"/>
          <w:numId w:val="10"/>
        </w:numPr>
        <w:ind w:left="567"/>
        <w:rPr>
          <w:sz w:val="22"/>
          <w:szCs w:val="22"/>
        </w:rPr>
      </w:pPr>
      <w:r w:rsidRPr="009E0703">
        <w:rPr>
          <w:sz w:val="22"/>
          <w:szCs w:val="22"/>
        </w:rPr>
        <w:t xml:space="preserve">Preparatory work </w:t>
      </w:r>
    </w:p>
    <w:p w14:paraId="1C85D9CC" w14:textId="6B47E712" w:rsidR="001E2B61" w:rsidRDefault="000257DC" w:rsidP="001E2B61">
      <w:pPr>
        <w:rPr>
          <w:sz w:val="22"/>
          <w:szCs w:val="22"/>
        </w:rPr>
      </w:pPr>
      <w:r w:rsidRPr="009E5EEB">
        <w:rPr>
          <w:sz w:val="22"/>
          <w:szCs w:val="22"/>
        </w:rPr>
        <w:t>A B</w:t>
      </w:r>
      <w:r w:rsidR="0065203A" w:rsidRPr="009E5EEB">
        <w:rPr>
          <w:sz w:val="22"/>
          <w:szCs w:val="22"/>
        </w:rPr>
        <w:t>usiness Continuity Plan captures lessons learned and decisions made from the planning, practice</w:t>
      </w:r>
      <w:r w:rsidRPr="009E5EEB">
        <w:rPr>
          <w:sz w:val="22"/>
          <w:szCs w:val="22"/>
        </w:rPr>
        <w:t>,</w:t>
      </w:r>
      <w:r w:rsidR="0065203A" w:rsidRPr="009E5EEB">
        <w:rPr>
          <w:sz w:val="22"/>
          <w:szCs w:val="22"/>
        </w:rPr>
        <w:t xml:space="preserve"> and preparation</w:t>
      </w:r>
      <w:r w:rsidR="001E2B61">
        <w:rPr>
          <w:sz w:val="22"/>
          <w:szCs w:val="22"/>
        </w:rPr>
        <w:t xml:space="preserve">. A BCP will allow all parties to understand who is leading and engaged on which actions. </w:t>
      </w:r>
    </w:p>
    <w:p w14:paraId="2BC64324" w14:textId="422CDC99" w:rsidR="0065203A" w:rsidRPr="0048293C" w:rsidRDefault="001E2B61" w:rsidP="009E5EEB">
      <w:pPr>
        <w:rPr>
          <w:sz w:val="22"/>
          <w:szCs w:val="22"/>
        </w:rPr>
      </w:pPr>
      <w:r>
        <w:rPr>
          <w:sz w:val="22"/>
          <w:szCs w:val="22"/>
        </w:rPr>
        <w:t xml:space="preserve">BCPs should </w:t>
      </w:r>
      <w:r w:rsidR="0065203A" w:rsidRPr="0048293C">
        <w:rPr>
          <w:sz w:val="22"/>
          <w:szCs w:val="22"/>
        </w:rPr>
        <w:t xml:space="preserve">be reviewed </w:t>
      </w:r>
      <w:r w:rsidR="000257DC" w:rsidRPr="0048293C">
        <w:rPr>
          <w:sz w:val="22"/>
          <w:szCs w:val="22"/>
        </w:rPr>
        <w:t>annually</w:t>
      </w:r>
      <w:r w:rsidR="0065203A" w:rsidRPr="0048293C">
        <w:rPr>
          <w:sz w:val="22"/>
          <w:szCs w:val="22"/>
        </w:rPr>
        <w:t xml:space="preserve"> or after </w:t>
      </w:r>
      <w:r w:rsidR="00DB2649" w:rsidRPr="0048293C">
        <w:rPr>
          <w:sz w:val="22"/>
          <w:szCs w:val="22"/>
        </w:rPr>
        <w:t>a significant disruption has occurred</w:t>
      </w:r>
      <w:r>
        <w:rPr>
          <w:sz w:val="22"/>
          <w:szCs w:val="22"/>
        </w:rPr>
        <w:t xml:space="preserve"> and a post-mortem is conducted. BCPs should include a change history as is typical of internal corporate compliance policies. A change history or summary should list out sections and scope of changes made, dates, and version history for awareness purposes. </w:t>
      </w:r>
    </w:p>
    <w:p w14:paraId="6B438A1F" w14:textId="29682DAF" w:rsidR="009C61BC" w:rsidRPr="009E5EEB" w:rsidRDefault="001E2B61" w:rsidP="009E5EEB">
      <w:pPr>
        <w:rPr>
          <w:sz w:val="22"/>
          <w:szCs w:val="22"/>
        </w:rPr>
      </w:pPr>
      <w:r w:rsidRPr="009E5EEB">
        <w:rPr>
          <w:sz w:val="22"/>
          <w:szCs w:val="22"/>
        </w:rPr>
        <w:t xml:space="preserve">We encourage governments to engage with and invite the private sector </w:t>
      </w:r>
      <w:r w:rsidR="009C61BC" w:rsidRPr="009E5EEB">
        <w:rPr>
          <w:sz w:val="22"/>
          <w:szCs w:val="22"/>
        </w:rPr>
        <w:t xml:space="preserve">to participate in </w:t>
      </w:r>
      <w:r w:rsidR="001C1151" w:rsidRPr="009E5EEB">
        <w:rPr>
          <w:sz w:val="22"/>
          <w:szCs w:val="22"/>
        </w:rPr>
        <w:t>crisis preparedness</w:t>
      </w:r>
      <w:r w:rsidR="005D3C71" w:rsidRPr="009E5EEB">
        <w:rPr>
          <w:sz w:val="22"/>
          <w:szCs w:val="22"/>
        </w:rPr>
        <w:t xml:space="preserve"> planning and</w:t>
      </w:r>
      <w:r w:rsidR="001C1151" w:rsidRPr="009E5EEB">
        <w:rPr>
          <w:sz w:val="22"/>
          <w:szCs w:val="22"/>
        </w:rPr>
        <w:t xml:space="preserve"> exercises</w:t>
      </w:r>
      <w:r w:rsidRPr="009E5EEB">
        <w:rPr>
          <w:sz w:val="22"/>
          <w:szCs w:val="22"/>
        </w:rPr>
        <w:t>, where the</w:t>
      </w:r>
      <w:r w:rsidR="005D3C71" w:rsidRPr="009E5EEB">
        <w:rPr>
          <w:sz w:val="22"/>
          <w:szCs w:val="22"/>
        </w:rPr>
        <w:t xml:space="preserve"> </w:t>
      </w:r>
      <w:r w:rsidR="007064F1" w:rsidRPr="009E5EEB">
        <w:rPr>
          <w:sz w:val="22"/>
          <w:szCs w:val="22"/>
        </w:rPr>
        <w:t xml:space="preserve">scope and frequency of involvement </w:t>
      </w:r>
      <w:r w:rsidRPr="009E5EEB">
        <w:rPr>
          <w:sz w:val="22"/>
          <w:szCs w:val="22"/>
        </w:rPr>
        <w:t xml:space="preserve">is </w:t>
      </w:r>
      <w:r w:rsidR="00145073" w:rsidRPr="009E5EEB">
        <w:rPr>
          <w:sz w:val="22"/>
          <w:szCs w:val="22"/>
        </w:rPr>
        <w:t>to be determ</w:t>
      </w:r>
      <w:r w:rsidRPr="009E5EEB">
        <w:rPr>
          <w:sz w:val="22"/>
          <w:szCs w:val="22"/>
        </w:rPr>
        <w:t xml:space="preserve">ined. </w:t>
      </w:r>
    </w:p>
    <w:sectPr w:rsidR="009C61BC" w:rsidRPr="009E5EEB" w:rsidSect="00541ACE">
      <w:headerReference w:type="default" r:id="rId11"/>
      <w:footerReference w:type="default" r:id="rId12"/>
      <w:pgSz w:w="12240" w:h="15840"/>
      <w:pgMar w:top="15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49865" w14:textId="77777777" w:rsidR="005B58C3" w:rsidRDefault="005B58C3" w:rsidP="00822F94">
      <w:pPr>
        <w:spacing w:after="0" w:line="240" w:lineRule="auto"/>
      </w:pPr>
      <w:r>
        <w:separator/>
      </w:r>
    </w:p>
  </w:endnote>
  <w:endnote w:type="continuationSeparator" w:id="0">
    <w:p w14:paraId="5515C934" w14:textId="77777777" w:rsidR="005B58C3" w:rsidRDefault="005B58C3" w:rsidP="0082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353213"/>
      <w:docPartObj>
        <w:docPartGallery w:val="Page Numbers (Bottom of Page)"/>
        <w:docPartUnique/>
      </w:docPartObj>
    </w:sdtPr>
    <w:sdtEndPr>
      <w:rPr>
        <w:noProof/>
      </w:rPr>
    </w:sdtEndPr>
    <w:sdtContent>
      <w:p w14:paraId="13158364" w14:textId="234838BD" w:rsidR="00B55EC8" w:rsidRDefault="00B55EC8">
        <w:pPr>
          <w:pStyle w:val="Footer"/>
          <w:jc w:val="center"/>
        </w:pPr>
        <w:r>
          <w:fldChar w:fldCharType="begin"/>
        </w:r>
        <w:r>
          <w:instrText xml:space="preserve"> PAGE   \* MERGEFORMAT </w:instrText>
        </w:r>
        <w:r>
          <w:fldChar w:fldCharType="separate"/>
        </w:r>
        <w:r w:rsidR="00EA6A28">
          <w:rPr>
            <w:noProof/>
          </w:rPr>
          <w:t>3</w:t>
        </w:r>
        <w:r>
          <w:rPr>
            <w:noProof/>
          </w:rPr>
          <w:fldChar w:fldCharType="end"/>
        </w:r>
        <w:r w:rsidR="0054793E">
          <w:rPr>
            <w:noProof/>
          </w:rPr>
          <w:t xml:space="preserve">  |  </w:t>
        </w:r>
        <w:r w:rsidR="0081614F">
          <w:rPr>
            <w:noProof/>
          </w:rPr>
          <w:t>16</w:t>
        </w:r>
        <w:r w:rsidR="0054793E">
          <w:rPr>
            <w:noProof/>
          </w:rPr>
          <w:t>-0</w:t>
        </w:r>
        <w:r w:rsidR="0081614F">
          <w:rPr>
            <w:noProof/>
          </w:rPr>
          <w:t>3</w:t>
        </w:r>
        <w:r w:rsidR="0054793E">
          <w:rPr>
            <w:noProof/>
          </w:rPr>
          <w:t>-2023</w:t>
        </w:r>
      </w:p>
    </w:sdtContent>
  </w:sdt>
  <w:p w14:paraId="2AD4AD21" w14:textId="77777777" w:rsidR="00B55EC8" w:rsidRDefault="00B55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A0D7" w14:textId="77777777" w:rsidR="005B58C3" w:rsidRDefault="005B58C3" w:rsidP="00822F94">
      <w:pPr>
        <w:spacing w:after="0" w:line="240" w:lineRule="auto"/>
      </w:pPr>
      <w:r>
        <w:separator/>
      </w:r>
    </w:p>
  </w:footnote>
  <w:footnote w:type="continuationSeparator" w:id="0">
    <w:p w14:paraId="50DCD02B" w14:textId="77777777" w:rsidR="005B58C3" w:rsidRDefault="005B58C3" w:rsidP="00822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91D0" w14:textId="7986442B" w:rsidR="00541ACE" w:rsidRDefault="00541ACE">
    <w:pPr>
      <w:pStyle w:val="Header"/>
    </w:pPr>
    <w:r>
      <w:rPr>
        <w:noProof/>
        <w:lang w:val="es-MX" w:eastAsia="es-MX"/>
      </w:rPr>
      <w:drawing>
        <wp:anchor distT="0" distB="0" distL="114300" distR="114300" simplePos="0" relativeHeight="251659264" behindDoc="1" locked="0" layoutInCell="1" allowOverlap="1" wp14:anchorId="2EF217BD" wp14:editId="0FF70D0F">
          <wp:simplePos x="0" y="0"/>
          <wp:positionH relativeFrom="column">
            <wp:posOffset>0</wp:posOffset>
          </wp:positionH>
          <wp:positionV relativeFrom="paragraph">
            <wp:posOffset>-142875</wp:posOffset>
          </wp:positionV>
          <wp:extent cx="2091055" cy="499745"/>
          <wp:effectExtent l="0" t="0" r="4445" b="0"/>
          <wp:wrapTight wrapText="bothSides">
            <wp:wrapPolygon edited="0">
              <wp:start x="0" y="0"/>
              <wp:lineTo x="0" y="20584"/>
              <wp:lineTo x="21449" y="20584"/>
              <wp:lineTo x="21449"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499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D6E"/>
    <w:multiLevelType w:val="hybridMultilevel"/>
    <w:tmpl w:val="D2988A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7B1AFC"/>
    <w:multiLevelType w:val="hybridMultilevel"/>
    <w:tmpl w:val="E684F63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BEF0863"/>
    <w:multiLevelType w:val="hybridMultilevel"/>
    <w:tmpl w:val="F288E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C7897"/>
    <w:multiLevelType w:val="hybridMultilevel"/>
    <w:tmpl w:val="38A4681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B2518D"/>
    <w:multiLevelType w:val="hybridMultilevel"/>
    <w:tmpl w:val="6F8E0EA2"/>
    <w:lvl w:ilvl="0" w:tplc="04090001">
      <w:start w:val="1"/>
      <w:numFmt w:val="bullet"/>
      <w:lvlText w:val=""/>
      <w:lvlJc w:val="left"/>
      <w:pPr>
        <w:ind w:left="720" w:hanging="360"/>
      </w:pPr>
      <w:rPr>
        <w:rFonts w:ascii="Symbol" w:hAnsi="Symbol" w:hint="default"/>
      </w:rPr>
    </w:lvl>
    <w:lvl w:ilvl="1" w:tplc="0B1A5F1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76D8C"/>
    <w:multiLevelType w:val="hybridMultilevel"/>
    <w:tmpl w:val="A0382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977AA"/>
    <w:multiLevelType w:val="hybridMultilevel"/>
    <w:tmpl w:val="1274493A"/>
    <w:lvl w:ilvl="0" w:tplc="98BE187E">
      <w:start w:val="1"/>
      <w:numFmt w:val="bullet"/>
      <w:lvlText w:val="•"/>
      <w:lvlJc w:val="left"/>
      <w:pPr>
        <w:tabs>
          <w:tab w:val="num" w:pos="720"/>
        </w:tabs>
        <w:ind w:left="720" w:hanging="360"/>
      </w:pPr>
      <w:rPr>
        <w:rFonts w:ascii="Times New Roman" w:hAnsi="Times New Roman" w:hint="default"/>
      </w:rPr>
    </w:lvl>
    <w:lvl w:ilvl="1" w:tplc="2244F61E">
      <w:numFmt w:val="bullet"/>
      <w:lvlText w:val="•"/>
      <w:lvlJc w:val="left"/>
      <w:pPr>
        <w:tabs>
          <w:tab w:val="num" w:pos="1440"/>
        </w:tabs>
        <w:ind w:left="1440" w:hanging="360"/>
      </w:pPr>
      <w:rPr>
        <w:rFonts w:ascii="Times New Roman" w:hAnsi="Times New Roman" w:hint="default"/>
      </w:rPr>
    </w:lvl>
    <w:lvl w:ilvl="2" w:tplc="6E7023E2" w:tentative="1">
      <w:start w:val="1"/>
      <w:numFmt w:val="bullet"/>
      <w:lvlText w:val="•"/>
      <w:lvlJc w:val="left"/>
      <w:pPr>
        <w:tabs>
          <w:tab w:val="num" w:pos="2160"/>
        </w:tabs>
        <w:ind w:left="2160" w:hanging="360"/>
      </w:pPr>
      <w:rPr>
        <w:rFonts w:ascii="Times New Roman" w:hAnsi="Times New Roman" w:hint="default"/>
      </w:rPr>
    </w:lvl>
    <w:lvl w:ilvl="3" w:tplc="E84A143C" w:tentative="1">
      <w:start w:val="1"/>
      <w:numFmt w:val="bullet"/>
      <w:lvlText w:val="•"/>
      <w:lvlJc w:val="left"/>
      <w:pPr>
        <w:tabs>
          <w:tab w:val="num" w:pos="2880"/>
        </w:tabs>
        <w:ind w:left="2880" w:hanging="360"/>
      </w:pPr>
      <w:rPr>
        <w:rFonts w:ascii="Times New Roman" w:hAnsi="Times New Roman" w:hint="default"/>
      </w:rPr>
    </w:lvl>
    <w:lvl w:ilvl="4" w:tplc="9DD8107A" w:tentative="1">
      <w:start w:val="1"/>
      <w:numFmt w:val="bullet"/>
      <w:lvlText w:val="•"/>
      <w:lvlJc w:val="left"/>
      <w:pPr>
        <w:tabs>
          <w:tab w:val="num" w:pos="3600"/>
        </w:tabs>
        <w:ind w:left="3600" w:hanging="360"/>
      </w:pPr>
      <w:rPr>
        <w:rFonts w:ascii="Times New Roman" w:hAnsi="Times New Roman" w:hint="default"/>
      </w:rPr>
    </w:lvl>
    <w:lvl w:ilvl="5" w:tplc="57884CE2" w:tentative="1">
      <w:start w:val="1"/>
      <w:numFmt w:val="bullet"/>
      <w:lvlText w:val="•"/>
      <w:lvlJc w:val="left"/>
      <w:pPr>
        <w:tabs>
          <w:tab w:val="num" w:pos="4320"/>
        </w:tabs>
        <w:ind w:left="4320" w:hanging="360"/>
      </w:pPr>
      <w:rPr>
        <w:rFonts w:ascii="Times New Roman" w:hAnsi="Times New Roman" w:hint="default"/>
      </w:rPr>
    </w:lvl>
    <w:lvl w:ilvl="6" w:tplc="D73E06FC" w:tentative="1">
      <w:start w:val="1"/>
      <w:numFmt w:val="bullet"/>
      <w:lvlText w:val="•"/>
      <w:lvlJc w:val="left"/>
      <w:pPr>
        <w:tabs>
          <w:tab w:val="num" w:pos="5040"/>
        </w:tabs>
        <w:ind w:left="5040" w:hanging="360"/>
      </w:pPr>
      <w:rPr>
        <w:rFonts w:ascii="Times New Roman" w:hAnsi="Times New Roman" w:hint="default"/>
      </w:rPr>
    </w:lvl>
    <w:lvl w:ilvl="7" w:tplc="33165DB2" w:tentative="1">
      <w:start w:val="1"/>
      <w:numFmt w:val="bullet"/>
      <w:lvlText w:val="•"/>
      <w:lvlJc w:val="left"/>
      <w:pPr>
        <w:tabs>
          <w:tab w:val="num" w:pos="5760"/>
        </w:tabs>
        <w:ind w:left="5760" w:hanging="360"/>
      </w:pPr>
      <w:rPr>
        <w:rFonts w:ascii="Times New Roman" w:hAnsi="Times New Roman" w:hint="default"/>
      </w:rPr>
    </w:lvl>
    <w:lvl w:ilvl="8" w:tplc="13865FD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BD85605"/>
    <w:multiLevelType w:val="hybridMultilevel"/>
    <w:tmpl w:val="81A0708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AD56D8"/>
    <w:multiLevelType w:val="hybridMultilevel"/>
    <w:tmpl w:val="F56A64CC"/>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84C55"/>
    <w:multiLevelType w:val="hybridMultilevel"/>
    <w:tmpl w:val="7BA88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22B0B"/>
    <w:multiLevelType w:val="hybridMultilevel"/>
    <w:tmpl w:val="E11A5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51527A"/>
    <w:multiLevelType w:val="hybridMultilevel"/>
    <w:tmpl w:val="4AECB344"/>
    <w:lvl w:ilvl="0" w:tplc="FFFFFFFF">
      <w:start w:val="1"/>
      <w:numFmt w:val="bullet"/>
      <w:lvlText w:val=""/>
      <w:lvlJc w:val="left"/>
      <w:pPr>
        <w:ind w:left="720" w:hanging="360"/>
      </w:pPr>
      <w:rPr>
        <w:rFonts w:ascii="Symbol" w:hAnsi="Symbol" w:hint="default"/>
      </w:rPr>
    </w:lvl>
    <w:lvl w:ilvl="1" w:tplc="0B1A5F1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D07940"/>
    <w:multiLevelType w:val="hybridMultilevel"/>
    <w:tmpl w:val="DD0E261C"/>
    <w:lvl w:ilvl="0" w:tplc="65FCD95C">
      <w:start w:val="1"/>
      <w:numFmt w:val="bullet"/>
      <w:lvlText w:val="•"/>
      <w:lvlJc w:val="left"/>
      <w:pPr>
        <w:tabs>
          <w:tab w:val="num" w:pos="720"/>
        </w:tabs>
        <w:ind w:left="720" w:hanging="360"/>
      </w:pPr>
      <w:rPr>
        <w:rFonts w:ascii="Times New Roman" w:hAnsi="Times New Roman" w:hint="default"/>
      </w:rPr>
    </w:lvl>
    <w:lvl w:ilvl="1" w:tplc="1A3AA192">
      <w:start w:val="1"/>
      <w:numFmt w:val="bullet"/>
      <w:lvlText w:val="•"/>
      <w:lvlJc w:val="left"/>
      <w:pPr>
        <w:tabs>
          <w:tab w:val="num" w:pos="1440"/>
        </w:tabs>
        <w:ind w:left="1440" w:hanging="360"/>
      </w:pPr>
      <w:rPr>
        <w:rFonts w:ascii="Times New Roman" w:hAnsi="Times New Roman" w:hint="default"/>
      </w:rPr>
    </w:lvl>
    <w:lvl w:ilvl="2" w:tplc="FFDC4EEA" w:tentative="1">
      <w:start w:val="1"/>
      <w:numFmt w:val="bullet"/>
      <w:lvlText w:val="•"/>
      <w:lvlJc w:val="left"/>
      <w:pPr>
        <w:tabs>
          <w:tab w:val="num" w:pos="2160"/>
        </w:tabs>
        <w:ind w:left="2160" w:hanging="360"/>
      </w:pPr>
      <w:rPr>
        <w:rFonts w:ascii="Times New Roman" w:hAnsi="Times New Roman" w:hint="default"/>
      </w:rPr>
    </w:lvl>
    <w:lvl w:ilvl="3" w:tplc="CDA0E924" w:tentative="1">
      <w:start w:val="1"/>
      <w:numFmt w:val="bullet"/>
      <w:lvlText w:val="•"/>
      <w:lvlJc w:val="left"/>
      <w:pPr>
        <w:tabs>
          <w:tab w:val="num" w:pos="2880"/>
        </w:tabs>
        <w:ind w:left="2880" w:hanging="360"/>
      </w:pPr>
      <w:rPr>
        <w:rFonts w:ascii="Times New Roman" w:hAnsi="Times New Roman" w:hint="default"/>
      </w:rPr>
    </w:lvl>
    <w:lvl w:ilvl="4" w:tplc="9F9E0456" w:tentative="1">
      <w:start w:val="1"/>
      <w:numFmt w:val="bullet"/>
      <w:lvlText w:val="•"/>
      <w:lvlJc w:val="left"/>
      <w:pPr>
        <w:tabs>
          <w:tab w:val="num" w:pos="3600"/>
        </w:tabs>
        <w:ind w:left="3600" w:hanging="360"/>
      </w:pPr>
      <w:rPr>
        <w:rFonts w:ascii="Times New Roman" w:hAnsi="Times New Roman" w:hint="default"/>
      </w:rPr>
    </w:lvl>
    <w:lvl w:ilvl="5" w:tplc="D98C89D2" w:tentative="1">
      <w:start w:val="1"/>
      <w:numFmt w:val="bullet"/>
      <w:lvlText w:val="•"/>
      <w:lvlJc w:val="left"/>
      <w:pPr>
        <w:tabs>
          <w:tab w:val="num" w:pos="4320"/>
        </w:tabs>
        <w:ind w:left="4320" w:hanging="360"/>
      </w:pPr>
      <w:rPr>
        <w:rFonts w:ascii="Times New Roman" w:hAnsi="Times New Roman" w:hint="default"/>
      </w:rPr>
    </w:lvl>
    <w:lvl w:ilvl="6" w:tplc="A64637EE" w:tentative="1">
      <w:start w:val="1"/>
      <w:numFmt w:val="bullet"/>
      <w:lvlText w:val="•"/>
      <w:lvlJc w:val="left"/>
      <w:pPr>
        <w:tabs>
          <w:tab w:val="num" w:pos="5040"/>
        </w:tabs>
        <w:ind w:left="5040" w:hanging="360"/>
      </w:pPr>
      <w:rPr>
        <w:rFonts w:ascii="Times New Roman" w:hAnsi="Times New Roman" w:hint="default"/>
      </w:rPr>
    </w:lvl>
    <w:lvl w:ilvl="7" w:tplc="13B0AC96" w:tentative="1">
      <w:start w:val="1"/>
      <w:numFmt w:val="bullet"/>
      <w:lvlText w:val="•"/>
      <w:lvlJc w:val="left"/>
      <w:pPr>
        <w:tabs>
          <w:tab w:val="num" w:pos="5760"/>
        </w:tabs>
        <w:ind w:left="5760" w:hanging="360"/>
      </w:pPr>
      <w:rPr>
        <w:rFonts w:ascii="Times New Roman" w:hAnsi="Times New Roman" w:hint="default"/>
      </w:rPr>
    </w:lvl>
    <w:lvl w:ilvl="8" w:tplc="9F1EB1D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F6A657F"/>
    <w:multiLevelType w:val="hybridMultilevel"/>
    <w:tmpl w:val="749877DE"/>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04F2C20"/>
    <w:multiLevelType w:val="hybridMultilevel"/>
    <w:tmpl w:val="C0C832FC"/>
    <w:lvl w:ilvl="0" w:tplc="0B1A5F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3832A7"/>
    <w:multiLevelType w:val="hybridMultilevel"/>
    <w:tmpl w:val="E7F8D7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567F78"/>
    <w:multiLevelType w:val="hybridMultilevel"/>
    <w:tmpl w:val="D7A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30C52"/>
    <w:multiLevelType w:val="hybridMultilevel"/>
    <w:tmpl w:val="898C2CD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3B96AEB"/>
    <w:multiLevelType w:val="hybridMultilevel"/>
    <w:tmpl w:val="0ACC71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E135B2"/>
    <w:multiLevelType w:val="hybridMultilevel"/>
    <w:tmpl w:val="D6CC0122"/>
    <w:lvl w:ilvl="0" w:tplc="2DE872A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11340">
    <w:abstractNumId w:val="5"/>
  </w:num>
  <w:num w:numId="2" w16cid:durableId="85394291">
    <w:abstractNumId w:val="6"/>
  </w:num>
  <w:num w:numId="3" w16cid:durableId="593703860">
    <w:abstractNumId w:val="12"/>
  </w:num>
  <w:num w:numId="4" w16cid:durableId="270892904">
    <w:abstractNumId w:val="18"/>
  </w:num>
  <w:num w:numId="5" w16cid:durableId="1421834164">
    <w:abstractNumId w:val="1"/>
  </w:num>
  <w:num w:numId="6" w16cid:durableId="44767598">
    <w:abstractNumId w:val="13"/>
  </w:num>
  <w:num w:numId="7" w16cid:durableId="1774742365">
    <w:abstractNumId w:val="7"/>
  </w:num>
  <w:num w:numId="8" w16cid:durableId="1458640899">
    <w:abstractNumId w:val="17"/>
  </w:num>
  <w:num w:numId="9" w16cid:durableId="1660620375">
    <w:abstractNumId w:val="4"/>
  </w:num>
  <w:num w:numId="10" w16cid:durableId="1489438354">
    <w:abstractNumId w:val="11"/>
  </w:num>
  <w:num w:numId="11" w16cid:durableId="1381901215">
    <w:abstractNumId w:val="0"/>
  </w:num>
  <w:num w:numId="12" w16cid:durableId="1519007508">
    <w:abstractNumId w:val="3"/>
  </w:num>
  <w:num w:numId="13" w16cid:durableId="209078509">
    <w:abstractNumId w:val="15"/>
  </w:num>
  <w:num w:numId="14" w16cid:durableId="1329482301">
    <w:abstractNumId w:val="10"/>
  </w:num>
  <w:num w:numId="15" w16cid:durableId="183329763">
    <w:abstractNumId w:val="14"/>
  </w:num>
  <w:num w:numId="16" w16cid:durableId="1876966393">
    <w:abstractNumId w:val="9"/>
  </w:num>
  <w:num w:numId="17" w16cid:durableId="153035106">
    <w:abstractNumId w:val="8"/>
  </w:num>
  <w:num w:numId="18" w16cid:durableId="1592620399">
    <w:abstractNumId w:val="16"/>
  </w:num>
  <w:num w:numId="19" w16cid:durableId="1409155653">
    <w:abstractNumId w:val="19"/>
  </w:num>
  <w:num w:numId="20" w16cid:durableId="929387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yMDY3MTczMjI2MDVR0lEKTi0uzszPAykwrAUAsTGIBSwAAAA="/>
  </w:docVars>
  <w:rsids>
    <w:rsidRoot w:val="00EF4957"/>
    <w:rsid w:val="0001157E"/>
    <w:rsid w:val="0002124A"/>
    <w:rsid w:val="000257DC"/>
    <w:rsid w:val="0004105D"/>
    <w:rsid w:val="000464B6"/>
    <w:rsid w:val="00047E58"/>
    <w:rsid w:val="00053581"/>
    <w:rsid w:val="00076EB5"/>
    <w:rsid w:val="00077843"/>
    <w:rsid w:val="000B38C9"/>
    <w:rsid w:val="000E7111"/>
    <w:rsid w:val="000F4D39"/>
    <w:rsid w:val="00100EDC"/>
    <w:rsid w:val="00116F7E"/>
    <w:rsid w:val="00121D0C"/>
    <w:rsid w:val="00145073"/>
    <w:rsid w:val="00150DAC"/>
    <w:rsid w:val="00154382"/>
    <w:rsid w:val="00164199"/>
    <w:rsid w:val="00170009"/>
    <w:rsid w:val="0018443E"/>
    <w:rsid w:val="00187E03"/>
    <w:rsid w:val="001A427C"/>
    <w:rsid w:val="001A4D92"/>
    <w:rsid w:val="001B7BF7"/>
    <w:rsid w:val="001B7E64"/>
    <w:rsid w:val="001C073F"/>
    <w:rsid w:val="001C0A7D"/>
    <w:rsid w:val="001C1151"/>
    <w:rsid w:val="001C5077"/>
    <w:rsid w:val="001C5444"/>
    <w:rsid w:val="001C69D4"/>
    <w:rsid w:val="001D5967"/>
    <w:rsid w:val="001E2B61"/>
    <w:rsid w:val="002006E4"/>
    <w:rsid w:val="00201E97"/>
    <w:rsid w:val="00206E0A"/>
    <w:rsid w:val="00216EAA"/>
    <w:rsid w:val="002177EF"/>
    <w:rsid w:val="00231D22"/>
    <w:rsid w:val="00254923"/>
    <w:rsid w:val="002A1251"/>
    <w:rsid w:val="002C729C"/>
    <w:rsid w:val="002E688B"/>
    <w:rsid w:val="00334A29"/>
    <w:rsid w:val="003404E0"/>
    <w:rsid w:val="003461A6"/>
    <w:rsid w:val="00353BCB"/>
    <w:rsid w:val="0037539F"/>
    <w:rsid w:val="00381ACC"/>
    <w:rsid w:val="00397016"/>
    <w:rsid w:val="003B3E02"/>
    <w:rsid w:val="003C0BAA"/>
    <w:rsid w:val="003C24A9"/>
    <w:rsid w:val="003C3422"/>
    <w:rsid w:val="003C7928"/>
    <w:rsid w:val="004023EC"/>
    <w:rsid w:val="004154F5"/>
    <w:rsid w:val="00415908"/>
    <w:rsid w:val="004373E7"/>
    <w:rsid w:val="004503EE"/>
    <w:rsid w:val="00457C54"/>
    <w:rsid w:val="00481151"/>
    <w:rsid w:val="0048293C"/>
    <w:rsid w:val="00487664"/>
    <w:rsid w:val="00496CE4"/>
    <w:rsid w:val="004E133F"/>
    <w:rsid w:val="005039A5"/>
    <w:rsid w:val="00511C3D"/>
    <w:rsid w:val="0052180C"/>
    <w:rsid w:val="00534199"/>
    <w:rsid w:val="00541ACE"/>
    <w:rsid w:val="0054793E"/>
    <w:rsid w:val="00582EE1"/>
    <w:rsid w:val="00586A0B"/>
    <w:rsid w:val="00590A68"/>
    <w:rsid w:val="005A3066"/>
    <w:rsid w:val="005B58C3"/>
    <w:rsid w:val="005C57F8"/>
    <w:rsid w:val="005D3C71"/>
    <w:rsid w:val="00615A45"/>
    <w:rsid w:val="00616050"/>
    <w:rsid w:val="0064187F"/>
    <w:rsid w:val="00650328"/>
    <w:rsid w:val="00651311"/>
    <w:rsid w:val="0065203A"/>
    <w:rsid w:val="006639F3"/>
    <w:rsid w:val="0068057E"/>
    <w:rsid w:val="00685D10"/>
    <w:rsid w:val="00697373"/>
    <w:rsid w:val="006B492F"/>
    <w:rsid w:val="006B5990"/>
    <w:rsid w:val="006C03F0"/>
    <w:rsid w:val="006C09EB"/>
    <w:rsid w:val="006C7498"/>
    <w:rsid w:val="006D71B9"/>
    <w:rsid w:val="006E22B6"/>
    <w:rsid w:val="006E2F24"/>
    <w:rsid w:val="007044F8"/>
    <w:rsid w:val="007064F1"/>
    <w:rsid w:val="007213D6"/>
    <w:rsid w:val="0073371F"/>
    <w:rsid w:val="00736D33"/>
    <w:rsid w:val="00772F38"/>
    <w:rsid w:val="00782B93"/>
    <w:rsid w:val="007A699A"/>
    <w:rsid w:val="007A7A31"/>
    <w:rsid w:val="007B2F2F"/>
    <w:rsid w:val="007B5161"/>
    <w:rsid w:val="007C2A77"/>
    <w:rsid w:val="007F04F8"/>
    <w:rsid w:val="007F6C63"/>
    <w:rsid w:val="007F7495"/>
    <w:rsid w:val="0080547A"/>
    <w:rsid w:val="008074D8"/>
    <w:rsid w:val="00812C4F"/>
    <w:rsid w:val="0081614F"/>
    <w:rsid w:val="00822F94"/>
    <w:rsid w:val="00831F37"/>
    <w:rsid w:val="008342A9"/>
    <w:rsid w:val="008444D4"/>
    <w:rsid w:val="008616C3"/>
    <w:rsid w:val="0087510F"/>
    <w:rsid w:val="00880425"/>
    <w:rsid w:val="00880883"/>
    <w:rsid w:val="00894EF3"/>
    <w:rsid w:val="00897324"/>
    <w:rsid w:val="008A1B28"/>
    <w:rsid w:val="008A29AE"/>
    <w:rsid w:val="008A2C02"/>
    <w:rsid w:val="008C4432"/>
    <w:rsid w:val="008C6B20"/>
    <w:rsid w:val="008E287E"/>
    <w:rsid w:val="008F6177"/>
    <w:rsid w:val="009115B0"/>
    <w:rsid w:val="009266A5"/>
    <w:rsid w:val="00943FC7"/>
    <w:rsid w:val="009A3932"/>
    <w:rsid w:val="009A5D49"/>
    <w:rsid w:val="009B787C"/>
    <w:rsid w:val="009C4998"/>
    <w:rsid w:val="009C61BC"/>
    <w:rsid w:val="009D4613"/>
    <w:rsid w:val="009E0703"/>
    <w:rsid w:val="009E2461"/>
    <w:rsid w:val="009E5EEB"/>
    <w:rsid w:val="00A043FD"/>
    <w:rsid w:val="00A1096E"/>
    <w:rsid w:val="00A22EA0"/>
    <w:rsid w:val="00A46E1D"/>
    <w:rsid w:val="00A818D7"/>
    <w:rsid w:val="00A96374"/>
    <w:rsid w:val="00AB261A"/>
    <w:rsid w:val="00AB67D8"/>
    <w:rsid w:val="00AC0F9E"/>
    <w:rsid w:val="00AC76C8"/>
    <w:rsid w:val="00AE6A5D"/>
    <w:rsid w:val="00AF0514"/>
    <w:rsid w:val="00B31294"/>
    <w:rsid w:val="00B37AA6"/>
    <w:rsid w:val="00B448C3"/>
    <w:rsid w:val="00B55EC8"/>
    <w:rsid w:val="00B8316A"/>
    <w:rsid w:val="00B94717"/>
    <w:rsid w:val="00BC5446"/>
    <w:rsid w:val="00BE31F0"/>
    <w:rsid w:val="00C03A99"/>
    <w:rsid w:val="00C250BE"/>
    <w:rsid w:val="00C6028B"/>
    <w:rsid w:val="00C61FF3"/>
    <w:rsid w:val="00C6694A"/>
    <w:rsid w:val="00C67E49"/>
    <w:rsid w:val="00C74CAB"/>
    <w:rsid w:val="00C82390"/>
    <w:rsid w:val="00C93B24"/>
    <w:rsid w:val="00CA4377"/>
    <w:rsid w:val="00CA4870"/>
    <w:rsid w:val="00CC75E9"/>
    <w:rsid w:val="00D162BD"/>
    <w:rsid w:val="00D32752"/>
    <w:rsid w:val="00D3411B"/>
    <w:rsid w:val="00D343BC"/>
    <w:rsid w:val="00D83989"/>
    <w:rsid w:val="00DA1B3A"/>
    <w:rsid w:val="00DB2649"/>
    <w:rsid w:val="00E00376"/>
    <w:rsid w:val="00E136B5"/>
    <w:rsid w:val="00E4580F"/>
    <w:rsid w:val="00E4783B"/>
    <w:rsid w:val="00E84E7B"/>
    <w:rsid w:val="00E934C7"/>
    <w:rsid w:val="00EA2156"/>
    <w:rsid w:val="00EA2A61"/>
    <w:rsid w:val="00EA6A28"/>
    <w:rsid w:val="00EC3947"/>
    <w:rsid w:val="00ED5098"/>
    <w:rsid w:val="00EF4957"/>
    <w:rsid w:val="00F007C7"/>
    <w:rsid w:val="00F36ADB"/>
    <w:rsid w:val="00F40422"/>
    <w:rsid w:val="00F525AB"/>
    <w:rsid w:val="00F568EE"/>
    <w:rsid w:val="00F64944"/>
    <w:rsid w:val="00F657B6"/>
    <w:rsid w:val="00F94F60"/>
    <w:rsid w:val="00FA0DAD"/>
    <w:rsid w:val="00FB5AE9"/>
    <w:rsid w:val="00FE41FD"/>
    <w:rsid w:val="00FE7992"/>
    <w:rsid w:val="00FF5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E3D4F"/>
  <w15:chartTrackingRefBased/>
  <w15:docId w15:val="{AE7DE298-D5E0-4CDC-8114-FD43E2F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957"/>
    <w:pPr>
      <w:ind w:left="720"/>
      <w:contextualSpacing/>
    </w:pPr>
  </w:style>
  <w:style w:type="paragraph" w:styleId="Header">
    <w:name w:val="header"/>
    <w:basedOn w:val="Normal"/>
    <w:link w:val="HeaderChar"/>
    <w:uiPriority w:val="99"/>
    <w:unhideWhenUsed/>
    <w:rsid w:val="00822F94"/>
    <w:pPr>
      <w:tabs>
        <w:tab w:val="center" w:pos="4703"/>
        <w:tab w:val="right" w:pos="9406"/>
      </w:tabs>
      <w:spacing w:after="0" w:line="240" w:lineRule="auto"/>
    </w:pPr>
  </w:style>
  <w:style w:type="character" w:customStyle="1" w:styleId="HeaderChar">
    <w:name w:val="Header Char"/>
    <w:basedOn w:val="DefaultParagraphFont"/>
    <w:link w:val="Header"/>
    <w:uiPriority w:val="99"/>
    <w:rsid w:val="00822F94"/>
  </w:style>
  <w:style w:type="paragraph" w:styleId="Footer">
    <w:name w:val="footer"/>
    <w:basedOn w:val="Normal"/>
    <w:link w:val="FooterChar"/>
    <w:uiPriority w:val="99"/>
    <w:unhideWhenUsed/>
    <w:rsid w:val="00822F94"/>
    <w:pPr>
      <w:tabs>
        <w:tab w:val="center" w:pos="4703"/>
        <w:tab w:val="right" w:pos="9406"/>
      </w:tabs>
      <w:spacing w:after="0" w:line="240" w:lineRule="auto"/>
    </w:pPr>
  </w:style>
  <w:style w:type="character" w:customStyle="1" w:styleId="FooterChar">
    <w:name w:val="Footer Char"/>
    <w:basedOn w:val="DefaultParagraphFont"/>
    <w:link w:val="Footer"/>
    <w:uiPriority w:val="99"/>
    <w:rsid w:val="00822F94"/>
  </w:style>
  <w:style w:type="paragraph" w:styleId="Revision">
    <w:name w:val="Revision"/>
    <w:hidden/>
    <w:uiPriority w:val="99"/>
    <w:semiHidden/>
    <w:rsid w:val="006C7498"/>
    <w:pPr>
      <w:spacing w:after="0" w:line="240" w:lineRule="auto"/>
    </w:pPr>
  </w:style>
  <w:style w:type="character" w:styleId="CommentReference">
    <w:name w:val="annotation reference"/>
    <w:basedOn w:val="DefaultParagraphFont"/>
    <w:uiPriority w:val="99"/>
    <w:semiHidden/>
    <w:unhideWhenUsed/>
    <w:rsid w:val="006C7498"/>
    <w:rPr>
      <w:sz w:val="16"/>
      <w:szCs w:val="16"/>
    </w:rPr>
  </w:style>
  <w:style w:type="paragraph" w:styleId="CommentText">
    <w:name w:val="annotation text"/>
    <w:basedOn w:val="Normal"/>
    <w:link w:val="CommentTextChar"/>
    <w:uiPriority w:val="99"/>
    <w:unhideWhenUsed/>
    <w:rsid w:val="006C7498"/>
    <w:pPr>
      <w:spacing w:line="240" w:lineRule="auto"/>
    </w:pPr>
  </w:style>
  <w:style w:type="character" w:customStyle="1" w:styleId="CommentTextChar">
    <w:name w:val="Comment Text Char"/>
    <w:basedOn w:val="DefaultParagraphFont"/>
    <w:link w:val="CommentText"/>
    <w:uiPriority w:val="99"/>
    <w:rsid w:val="006C7498"/>
  </w:style>
  <w:style w:type="paragraph" w:styleId="CommentSubject">
    <w:name w:val="annotation subject"/>
    <w:basedOn w:val="CommentText"/>
    <w:next w:val="CommentText"/>
    <w:link w:val="CommentSubjectChar"/>
    <w:uiPriority w:val="99"/>
    <w:semiHidden/>
    <w:unhideWhenUsed/>
    <w:rsid w:val="006C7498"/>
    <w:rPr>
      <w:b/>
      <w:bCs/>
    </w:rPr>
  </w:style>
  <w:style w:type="character" w:customStyle="1" w:styleId="CommentSubjectChar">
    <w:name w:val="Comment Subject Char"/>
    <w:basedOn w:val="CommentTextChar"/>
    <w:link w:val="CommentSubject"/>
    <w:uiPriority w:val="99"/>
    <w:semiHidden/>
    <w:rsid w:val="006C7498"/>
    <w:rPr>
      <w:b/>
      <w:bCs/>
    </w:rPr>
  </w:style>
  <w:style w:type="character" w:styleId="Hyperlink">
    <w:name w:val="Hyperlink"/>
    <w:basedOn w:val="DefaultParagraphFont"/>
    <w:uiPriority w:val="99"/>
    <w:unhideWhenUsed/>
    <w:rsid w:val="006C03F0"/>
    <w:rPr>
      <w:color w:val="0563C1" w:themeColor="hyperlink"/>
      <w:u w:val="single"/>
    </w:rPr>
  </w:style>
  <w:style w:type="character" w:customStyle="1" w:styleId="UnresolvedMention1">
    <w:name w:val="Unresolved Mention1"/>
    <w:basedOn w:val="DefaultParagraphFont"/>
    <w:uiPriority w:val="99"/>
    <w:semiHidden/>
    <w:unhideWhenUsed/>
    <w:rsid w:val="006C03F0"/>
    <w:rPr>
      <w:color w:val="605E5C"/>
      <w:shd w:val="clear" w:color="auto" w:fill="E1DFDD"/>
    </w:rPr>
  </w:style>
  <w:style w:type="character" w:styleId="FollowedHyperlink">
    <w:name w:val="FollowedHyperlink"/>
    <w:basedOn w:val="DefaultParagraphFont"/>
    <w:uiPriority w:val="99"/>
    <w:semiHidden/>
    <w:unhideWhenUsed/>
    <w:rsid w:val="00381A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82019">
      <w:bodyDiv w:val="1"/>
      <w:marLeft w:val="0"/>
      <w:marRight w:val="0"/>
      <w:marTop w:val="0"/>
      <w:marBottom w:val="0"/>
      <w:divBdr>
        <w:top w:val="none" w:sz="0" w:space="0" w:color="auto"/>
        <w:left w:val="none" w:sz="0" w:space="0" w:color="auto"/>
        <w:bottom w:val="none" w:sz="0" w:space="0" w:color="auto"/>
        <w:right w:val="none" w:sz="0" w:space="0" w:color="auto"/>
      </w:divBdr>
      <w:divsChild>
        <w:div w:id="1610040192">
          <w:marLeft w:val="547"/>
          <w:marRight w:val="0"/>
          <w:marTop w:val="0"/>
          <w:marBottom w:val="0"/>
          <w:divBdr>
            <w:top w:val="none" w:sz="0" w:space="0" w:color="auto"/>
            <w:left w:val="none" w:sz="0" w:space="0" w:color="auto"/>
            <w:bottom w:val="none" w:sz="0" w:space="0" w:color="auto"/>
            <w:right w:val="none" w:sz="0" w:space="0" w:color="auto"/>
          </w:divBdr>
        </w:div>
        <w:div w:id="659774664">
          <w:marLeft w:val="1166"/>
          <w:marRight w:val="0"/>
          <w:marTop w:val="0"/>
          <w:marBottom w:val="0"/>
          <w:divBdr>
            <w:top w:val="none" w:sz="0" w:space="0" w:color="auto"/>
            <w:left w:val="none" w:sz="0" w:space="0" w:color="auto"/>
            <w:bottom w:val="none" w:sz="0" w:space="0" w:color="auto"/>
            <w:right w:val="none" w:sz="0" w:space="0" w:color="auto"/>
          </w:divBdr>
        </w:div>
        <w:div w:id="933123957">
          <w:marLeft w:val="1166"/>
          <w:marRight w:val="0"/>
          <w:marTop w:val="0"/>
          <w:marBottom w:val="0"/>
          <w:divBdr>
            <w:top w:val="none" w:sz="0" w:space="0" w:color="auto"/>
            <w:left w:val="none" w:sz="0" w:space="0" w:color="auto"/>
            <w:bottom w:val="none" w:sz="0" w:space="0" w:color="auto"/>
            <w:right w:val="none" w:sz="0" w:space="0" w:color="auto"/>
          </w:divBdr>
        </w:div>
        <w:div w:id="1162505650">
          <w:marLeft w:val="1166"/>
          <w:marRight w:val="0"/>
          <w:marTop w:val="0"/>
          <w:marBottom w:val="0"/>
          <w:divBdr>
            <w:top w:val="none" w:sz="0" w:space="0" w:color="auto"/>
            <w:left w:val="none" w:sz="0" w:space="0" w:color="auto"/>
            <w:bottom w:val="none" w:sz="0" w:space="0" w:color="auto"/>
            <w:right w:val="none" w:sz="0" w:space="0" w:color="auto"/>
          </w:divBdr>
        </w:div>
        <w:div w:id="1071198850">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tradefacilitation.org/article/flying-in-the-face-of-disaster/" TargetMode="External"/><Relationship Id="rId4" Type="http://schemas.openxmlformats.org/officeDocument/2006/relationships/styles" Target="styles.xml"/><Relationship Id="rId9" Type="http://schemas.openxmlformats.org/officeDocument/2006/relationships/hyperlink" Target="https://www.wcoomd.org/-/media/wco/public/global/pdf/topics/facilitation/activities-and-programmes/natural-disaster/guidelines-disaster-management_en.pdf?db=web"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E058291D82DE41804A9A9D7713A0F5" ma:contentTypeVersion="18" ma:contentTypeDescription="Create a new document." ma:contentTypeScope="" ma:versionID="f3d4567ee27079291155f1ae6faf1898">
  <xsd:schema xmlns:xsd="http://www.w3.org/2001/XMLSchema" xmlns:xs="http://www.w3.org/2001/XMLSchema" xmlns:p="http://schemas.microsoft.com/office/2006/metadata/properties" xmlns:ns2="b9dd1aa2-268c-48d2-bec3-a4a5b0e613f5" xmlns:ns3="b7425598-e7bb-4b84-ac82-5a99ec97053f" targetNamespace="http://schemas.microsoft.com/office/2006/metadata/properties" ma:root="true" ma:fieldsID="fa4249dbd905e9bcc2d21b729c8c738b" ns2:_="" ns3:_="">
    <xsd:import namespace="b9dd1aa2-268c-48d2-bec3-a4a5b0e613f5"/>
    <xsd:import namespace="b7425598-e7bb-4b84-ac82-5a99ec9705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d1aa2-268c-48d2-bec3-a4a5b0e6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5df3d4-0c24-44b4-9bb3-cd9c44a20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25598-e7bb-4b84-ac82-5a99ec97053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776cfc-3b95-4aea-be10-ebbca1b5a662}" ma:internalName="TaxCatchAll" ma:showField="CatchAllData" ma:web="b7425598-e7bb-4b84-ac82-5a99ec9705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ABE5E-30BE-449C-8216-C6679B1FD3DB}">
  <ds:schemaRefs>
    <ds:schemaRef ds:uri="http://schemas.microsoft.com/sharepoint/v3/contenttype/forms"/>
  </ds:schemaRefs>
</ds:datastoreItem>
</file>

<file path=customXml/itemProps2.xml><?xml version="1.0" encoding="utf-8"?>
<ds:datastoreItem xmlns:ds="http://schemas.openxmlformats.org/officeDocument/2006/customXml" ds:itemID="{8B88CD85-267D-4BCB-9DA1-BE201651521F}"/>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Colm Leonard</cp:lastModifiedBy>
  <cp:revision>2</cp:revision>
  <dcterms:created xsi:type="dcterms:W3CDTF">2023-07-03T14:23:00Z</dcterms:created>
  <dcterms:modified xsi:type="dcterms:W3CDTF">2023-07-03T14:23:00Z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5ddc3b2673fbdaaa2bdae0d8cd2ac8842cfd964ec856e5d0c22ce085e11dd3e7</vt:lpwstr>
  </property>
</Properties>
</file>